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spacing w:before="0" w:after="0" w:line="360" w:lineRule="auto"/>
        <w:jc w:val="both"/>
        <w:rPr>
          <w:rFonts w:hint="eastAsia" w:ascii="宋体" w:hAnsi="宋体" w:cs="宋体"/>
          <w:sz w:val="32"/>
          <w:szCs w:val="32"/>
        </w:rPr>
      </w:pPr>
      <w:bookmarkStart w:id="0" w:name="_Toc166516493"/>
      <w:r>
        <w:rPr>
          <w:rFonts w:hint="eastAsia" w:ascii="宋体" w:hAnsi="宋体" w:cs="宋体"/>
          <w:sz w:val="32"/>
          <w:szCs w:val="32"/>
          <w:lang w:val="en-US" w:eastAsia="zh-CN"/>
        </w:rPr>
        <w:t xml:space="preserve">附件 </w:t>
      </w:r>
      <w:r>
        <w:rPr>
          <w:rFonts w:hint="eastAsia" w:ascii="宋体" w:hAnsi="宋体" w:cs="宋体"/>
          <w:sz w:val="32"/>
          <w:szCs w:val="32"/>
        </w:rPr>
        <w:t xml:space="preserve"> </w:t>
      </w:r>
      <w:bookmarkEnd w:id="0"/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采购需求(维</w:t>
      </w:r>
      <w:r>
        <w:rPr>
          <w:rFonts w:hint="eastAsia" w:ascii="宋体" w:hAnsi="宋体" w:cs="宋体"/>
          <w:b/>
          <w:bCs/>
          <w:sz w:val="32"/>
          <w:szCs w:val="32"/>
          <w:lang w:val="en-US" w:eastAsia="zh-CN"/>
        </w:rPr>
        <w:t>保</w:t>
      </w:r>
      <w:r>
        <w:rPr>
          <w:rFonts w:hint="eastAsia" w:ascii="宋体" w:hAnsi="宋体" w:eastAsia="宋体" w:cs="宋体"/>
          <w:b/>
          <w:bCs/>
          <w:sz w:val="32"/>
          <w:szCs w:val="32"/>
          <w:lang w:val="en-US" w:eastAsia="zh-CN"/>
        </w:rPr>
        <w:t>清单)</w:t>
      </w:r>
    </w:p>
    <w:p>
      <w:pPr>
        <w:spacing w:line="460" w:lineRule="exact"/>
        <w:jc w:val="left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</w:rPr>
        <w:t>说明：</w:t>
      </w:r>
    </w:p>
    <w:p>
      <w:pPr>
        <w:spacing w:line="460" w:lineRule="exact"/>
        <w:ind w:firstLine="422" w:firstLineChars="200"/>
        <w:jc w:val="left"/>
        <w:rPr>
          <w:rFonts w:hint="eastAsia" w:ascii="宋体" w:hAnsi="宋体" w:cs="宋体"/>
          <w:b/>
          <w:bCs/>
          <w:szCs w:val="21"/>
        </w:rPr>
      </w:pPr>
      <w:r>
        <w:rPr>
          <w:rFonts w:hint="eastAsia" w:ascii="宋体" w:hAnsi="宋体" w:cs="宋体"/>
          <w:b/>
          <w:bCs/>
          <w:szCs w:val="21"/>
        </w:rPr>
        <w:t>1.</w:t>
      </w:r>
      <w:r>
        <w:rPr>
          <w:rFonts w:hint="eastAsia" w:ascii="宋体" w:hAnsi="宋体" w:eastAsia="宋体" w:cs="宋体"/>
          <w:b/>
          <w:bCs/>
          <w:color w:val="000000"/>
          <w:sz w:val="22"/>
          <w:szCs w:val="22"/>
        </w:rPr>
        <w:t>为保证项目服务质量及维保真实性，参与投标的公司需提供原厂对本次维保的授权服务函（加盖厂商公章或有效投标专用章）</w:t>
      </w:r>
      <w:bookmarkStart w:id="1" w:name="_GoBack"/>
      <w:bookmarkEnd w:id="1"/>
      <w:r>
        <w:rPr>
          <w:rFonts w:hint="eastAsia" w:ascii="宋体" w:hAnsi="宋体" w:eastAsia="宋体" w:cs="宋体"/>
          <w:b/>
          <w:bCs/>
          <w:color w:val="000000"/>
          <w:sz w:val="22"/>
          <w:szCs w:val="22"/>
        </w:rPr>
        <w:t>。</w:t>
      </w:r>
    </w:p>
    <w:p>
      <w:pPr>
        <w:spacing w:line="460" w:lineRule="exact"/>
        <w:ind w:firstLine="420" w:firstLineChars="200"/>
        <w:jc w:val="left"/>
        <w:rPr>
          <w:rFonts w:hint="eastAsia" w:ascii="宋体" w:hAnsi="宋体" w:cs="宋体"/>
          <w:szCs w:val="21"/>
        </w:rPr>
      </w:pPr>
      <w:r>
        <w:rPr>
          <w:rFonts w:hint="eastAsia" w:ascii="宋体" w:hAnsi="宋体" w:cs="宋体"/>
          <w:szCs w:val="21"/>
          <w:lang w:val="en-US" w:eastAsia="zh-CN"/>
        </w:rPr>
        <w:t>2</w:t>
      </w:r>
      <w:r>
        <w:rPr>
          <w:rFonts w:hint="eastAsia" w:ascii="宋体" w:hAnsi="宋体" w:cs="宋体"/>
          <w:szCs w:val="21"/>
        </w:rPr>
        <w:t>.供应商必须对响应文件中提供的证明材料和资质文件真实性负责，如出现虚假应标情况，供应商除了应接受有关部门的处罚外，还应依据《中华人民共和国民法典》的相关条款来进行赔偿。</w:t>
      </w:r>
    </w:p>
    <w:p/>
    <w:tbl>
      <w:tblPr>
        <w:tblStyle w:val="5"/>
        <w:tblW w:w="5038" w:type="pct"/>
        <w:tblInd w:w="-76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1"/>
        <w:gridCol w:w="1043"/>
        <w:gridCol w:w="650"/>
        <w:gridCol w:w="1125"/>
        <w:gridCol w:w="1124"/>
        <w:gridCol w:w="3779"/>
        <w:gridCol w:w="569"/>
        <w:gridCol w:w="596"/>
        <w:gridCol w:w="654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9" w:hRule="atLeast"/>
        </w:trPr>
        <w:tc>
          <w:tcPr>
            <w:tcW w:w="5000" w:type="pct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pStyle w:val="4"/>
              <w:keepNext w:val="0"/>
              <w:keepLines w:val="0"/>
              <w:pageBreakBefore w:val="0"/>
              <w:widowControl/>
              <w:pBdr>
                <w:top w:val="none" w:color="000000" w:sz="0" w:space="0"/>
                <w:left w:val="none" w:color="000000" w:sz="0" w:space="0"/>
                <w:bottom w:val="none" w:color="000000" w:sz="0" w:space="0"/>
                <w:right w:val="none" w:color="000000" w:sz="0" w:space="0"/>
              </w:pBdr>
              <w:shd w:val="clear" w:color="auto" w:fill="FFFFFF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 w:val="0"/>
              <w:spacing w:before="100" w:after="100"/>
              <w:ind w:firstLine="420"/>
              <w:jc w:val="center"/>
              <w:textAlignment w:val="auto"/>
              <w:rPr>
                <w:rFonts w:hint="default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桂平市中医医院信息化核心设备及网络2025年度维保采购需求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1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序号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物品名称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品牌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型号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序列号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参数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数量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单位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  <w:t>备注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5000" w:type="pct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一、机房核心设备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69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内网核心交换机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华三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LS-7506E-X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210235A1QPX20A00003C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1、整机设备1年硬件质保服务（合同签订之日起算1年内有效）；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 提供原厂7*24小时400在线技术服务；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3、质保期内设备故障排查、坏件免费上门维修、更换；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4、质保期内设备损坏无法正常运行，提供备用件替换临时恢复业务，保障业务系统的平稳运行。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02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内网数据中心服务器交换机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华三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LS-5560X-54C-EI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210235A1XC9209Q00193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1、整机设备1年硬件质保服务（合同签订之日起算1年内有效）；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 提供原厂7*24小时400在线技术服务；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3、质保期内设备故障排查、坏件免费上门维修、更换；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4、质保期内设备损坏无法正常运行，提供备用件替换临时恢复业务，保障业务系统的平稳运行。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shd w:val="clear" w:color="auto" w:fill="FFFFFF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90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UPS主机维保服务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维谛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ITA2-30kVA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1、整机 UPS主机设备1年硬件质保服务（不含蓄电电池，合同签订之日起算1年内有效）；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2、质保期内设备故障排查、坏件免费上门维修、更换；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3、质保期内提供蓄电池充放电测试、蓄电池漏液情况检查、降低电池因损耗过高导致自燃等风险。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4、质保期内常用易损配件保障、故障快速抢修服务；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5、质保期内提供设备功能的使用培训、故障查看、消除培训。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66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空调维保服务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维谛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P1040DA036HL12S1D000PA033 &amp; LSF52-R3L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1、空调设备1年硬件质保服务（合同签订之日起算1年内有效）；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2、质保期内设备故障排查、坏件免费上门维修、更换；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3、质保期内提供设备全面巡检服务，制冷情况、运行状态、告警排查、漏水检查，日常运维注意事项培训。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4、质保期内提供2次/年的室外机清洗、滤网清洗、冷凝水管路疏通服务。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61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上网行为管理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深信服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AC-1000-B1500Y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076B286D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1、一年软件版本升级、URL规则库升级；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2、质保期内整机设备1年硬件质保服务（合同签订之日起算1年内有效）；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3、质保期内原厂7*24小时400在线技术服务；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4、质保期内提供日志异常、告警问题、安全策略配置服务。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15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数据中心防火墙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深信服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AF-1000-B1600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C1C2E518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1、一年软件版本升级、URL规则库升级；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2、质保期内整机设备1年硬件质保服务（合同签订之日起算1年内有效）；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3、质保期内原厂7*24小时400在线技术服务；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4、质保期内提供日志异常、告警问题、安全策略配置服务。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6" w:hRule="atLeast"/>
        </w:trPr>
        <w:tc>
          <w:tcPr>
            <w:tcW w:w="24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</w:t>
            </w:r>
          </w:p>
        </w:tc>
        <w:tc>
          <w:tcPr>
            <w:tcW w:w="519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动环监控系统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信锐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NAC6200-LOT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1、物联网控制器；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2、一年硬件质保；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3、7*24小时在线技术服务。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vMerge w:val="restar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24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1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信锐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YD2060-J1K-A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1、电量监测仪；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2、一年硬件质保；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3、7*24小时在线技术服务。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24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1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信锐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JTY-GD-T12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1、光电烟感探测器；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2、一年硬件质保；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3、7*24小时在线技术服务。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32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3" w:hRule="atLeast"/>
        </w:trPr>
        <w:tc>
          <w:tcPr>
            <w:tcW w:w="24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1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信锐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SI-MD-PIR-MW-M1-ASD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1、红外人体感应；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2、一年硬件质保；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3、7*24小时在线技术服务。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24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1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信锐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SH-1000-GL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1、设备监控驱动模块；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2、一年硬件质保；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3、7*24小时在线技术服务。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32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24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1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信锐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SI-WLD-CT-M0-ASD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1、漏水传感器；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2、一年硬件质保；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3、7*24小时在线技术服务。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24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1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信锐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 xml:space="preserve">LBS-1000-2L 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1、室内无线网关；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2、一年硬件质保；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3、7*24小时在线技术服务。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个</w:t>
            </w:r>
          </w:p>
        </w:tc>
        <w:tc>
          <w:tcPr>
            <w:tcW w:w="32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24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1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信锐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SI-DAS-M2500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1、数据采集主机；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2、一年硬件质保；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3、7*24小时在线技术服务。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80" w:hRule="atLeast"/>
        </w:trPr>
        <w:tc>
          <w:tcPr>
            <w:tcW w:w="24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1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信锐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SI-IRC-01-L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1、红外控制器；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2、一年硬件质保；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3、7*24小时在线技术服务。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6" w:hRule="atLeast"/>
        </w:trPr>
        <w:tc>
          <w:tcPr>
            <w:tcW w:w="24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19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信锐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WS-TH-01-L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1、温湿度传感器；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2、一年硬件质保；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3、7*24小时在线技术服务。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vMerge w:val="continue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98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8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华三路由器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华三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MSR830-6BHI-WiNet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1、整机设备1年硬件质保服务（合同签订之日起算1年内有效）；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 提供原厂7*24小时400在线技术服务；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3、质保期内设备故障排查、坏件免费上门维修、更换；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4、质保期内设备损坏无法正常运行，提供备用件替换临时恢复业务，保障业务系统的平稳运行。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7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9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应急数据上报服务器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华三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H3C-UNiServer-R4900-G3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210235A2CR620BF0030Z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1、整机设备1年硬件质保服务（合同签订之日起算1年内有效）；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 提供原厂7*24小时400在线技术服务；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3、质保期内设备故障排查、坏件免费上门维修、更换；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4、质保期内设备损坏无法正常运行，提供备用件替换临时恢复业务，保障业务系统的平稳运行。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45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10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网络管理平台（IMC）服务器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华三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H3C-UNiServer-R4900-G3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210235A2CR620BF002LB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1、整机设备1年硬件质保服务（合同签订之日起算1年内有效）；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 7*24小时400在线技术服务；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3、质保期内设备故障排查、坏件免费上门维修、更换；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4、质保期内设备损坏无法正常运行，提供备用件替换临时恢复业务，保障业务系统的平稳运行。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44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11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金算盘服务器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IBM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system x3850 X6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J32MBRK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1、整机设备1年硬件维保服务（合同签订之日起算1年内有效）；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2、质保期内7*24原厂400技术支持服务；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3、固件的升级及驱动的下载；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4、硬件故障的报修及原厂配件上门更换服务等；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84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12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互联互通服务器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IBM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system x3650 M5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J32CZ65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1、整机设备1年硬件维保服务（合同签订之日起算1年内有效）；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2、质保期内7*24原厂技术支持服务；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3、固件的升级及驱动的下载；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4、硬件故障的报修及原厂配件上门更换服务等；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4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13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PACS服务器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IBM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system x3650 M5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J33XNH7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1、整机设备1年硬件维保服务（合同签订之日起算1年内有效）；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2、质保期内7*24原厂技术支持服务；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3、固件的升级及驱动的下载；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4、硬件故障的报修及原厂配件上门更换服务等；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520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PACS存储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IBM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Storwize V3700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7823579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1、整机设备1年硬件维保服务（合同签订之日起算1年内有效）；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2、质保期内7*24原厂技术支持服务；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3、固件的升级及驱动的下载；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4、硬件故障的报修及原厂配件上门更换服务等；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471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15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PACS存储-扩展柜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IBM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Storwize V3700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1、整机设备1年硬件维保服务（合同签订之日起算1年内有效）；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2、质保期内7*24原厂技术支持服务；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3、固件的升级及驱动的下载；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4、硬件故障的报修及原厂配件上门更换服务等；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2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16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网神网闸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网神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G1500-E026P-D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1410AD907574186299266F43D739AE69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1、整机设备1年硬件质保服务（合同签订之日起算1年内有效）；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 提供原厂7*24小时400在线技术服务；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3、质保期内设备故障排查、坏件免费上门维修、更换；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4、质保期内设备损坏无法正常运行，提供备用件替换临时恢复业务，保障业务系统的平稳运行。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" w:hRule="atLeast"/>
        </w:trPr>
        <w:tc>
          <w:tcPr>
            <w:tcW w:w="5000" w:type="pct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二、新增维保设备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273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山特UPS主机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山特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3C15KS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F101-A6006040029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1、整机 UPS主机设备1年硬件质保服务（不含蓄电电池，合同签订之日起算）；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2、质保期内设备故障排查、坏件免费上门维修、更换；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3、质保期内提供蓄电池充放电测试、蓄电池漏液情况检查、降低电池因损耗过高导致自燃等风险。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4、质保期内常用易损配件保障、故障快速抢修服务；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5、质保期内提供设备功能的使用培训、故障查看、消除培训。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08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电子票据服务器（前置服务器）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华三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H3C-UNiServer-R4900-G3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210235A2CR621AF0051H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1、整机设备1年硬件质保服务（合同签订之日起算1年内有效）；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 提供原厂7*24小时400在线技术服务；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3、质保期内设备故障排查、坏件免费上门维修、更换；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4、质保期内设备损坏无法正常运行，提供备用件替换临时恢复业务，保障业务系统的平稳运行。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86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桂核酸3服务器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华三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H3C-UNiServer-R4900-G3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210235A2CR621CF004TN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1、整机设备1年硬件质保服务（合同签订之日起算1年内有效）；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 提供原厂7*24小时400在线技术服务；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3、质保期内设备故障排查、坏件免费上门维修、更换；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4、质保期内设备损坏无法正常运行，提供备用件替换临时恢复业务，保障业务系统的平稳运行。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388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电子健康卡服务器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华三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H3C-UNiServer-R4900-G3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210235A2CR621AF00514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1、整机设备1年硬件质保服务（合同签订之日起算1年内有效）；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 提供原厂7*24小时400在线技术服务；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3、质保期内设备故障排查、坏件免费上门维修、更换；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4、质保期内设备损坏无法正常运行，提供备用件替换临时恢复业务，保障业务系统的平稳运行。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02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5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医保前置服务器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华三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H3C-UNiServer-R4900-G3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210235A2CR621AF0051D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1、整机设备1年硬件质保服务（合同签订之日起算1年内有效）；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 提供原厂7*24小时400在线技术服务；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3、质保期内设备故障排查、坏件免费上门维修、更换；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4、质保期内设备损坏无法正常运行，提供备用件替换临时恢复业务，保障业务系统的平稳运行。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台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  <w:lang w:val="en-US" w:eastAsia="zh-CN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422" w:hRule="atLeast"/>
        </w:trPr>
        <w:tc>
          <w:tcPr>
            <w:tcW w:w="24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6</w:t>
            </w:r>
          </w:p>
        </w:tc>
        <w:tc>
          <w:tcPr>
            <w:tcW w:w="51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超融合一体机</w:t>
            </w:r>
          </w:p>
        </w:tc>
        <w:tc>
          <w:tcPr>
            <w:tcW w:w="32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深信服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aServer-R-2105</w:t>
            </w:r>
          </w:p>
        </w:tc>
        <w:tc>
          <w:tcPr>
            <w:tcW w:w="559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881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1、、含3台一体主机1年硬件质保服务（合同签订之日起算1年内有效）；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2、含虚拟化软件平台1年质保服务（合同签订之日起算1年内有效）；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2、质保期内 提供原厂7*24小时400在线技术服务；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3、质保期内设备故障排查、坏件免费上门维修、更换；</w:t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br w:type="textWrapping"/>
            </w: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4、质保期内设备损坏无法正常运行，提供备用件替换临时恢复业务，保障业务系统的平稳运行。</w:t>
            </w:r>
          </w:p>
        </w:tc>
        <w:tc>
          <w:tcPr>
            <w:tcW w:w="28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套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5000" w:type="pct"/>
            <w:gridSpan w:val="9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三、网络技术服务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7" w:hRule="atLeast"/>
        </w:trPr>
        <w:tc>
          <w:tcPr>
            <w:tcW w:w="249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519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网络系统保障服务</w:t>
            </w:r>
          </w:p>
        </w:tc>
        <w:tc>
          <w:tcPr>
            <w:tcW w:w="323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国产</w:t>
            </w:r>
          </w:p>
        </w:tc>
        <w:tc>
          <w:tcPr>
            <w:tcW w:w="559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网络技术服务</w:t>
            </w:r>
          </w:p>
        </w:tc>
        <w:tc>
          <w:tcPr>
            <w:tcW w:w="559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/</w:t>
            </w:r>
          </w:p>
        </w:tc>
        <w:tc>
          <w:tcPr>
            <w:tcW w:w="1881" w:type="pct"/>
            <w:vMerge w:val="restart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</w:pPr>
            <w:r>
              <w:rPr>
                <w:rStyle w:val="7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基础网络服务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1、网络拓扑图更新，网络联调；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2、设备管理，楼层接入交换机统计管理；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3、快速识别并解决网络连接中断、性能下降、设备故障等问题，确保最小化服务中断时间；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4、IP段统计，按客户使用需求进行网络联调；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5、通过合理的配置策略优化网络速率；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</w:pP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7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安全设备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1、按要求安全策略配置；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2、网络安全状态评估；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3、护网行动值守；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4、系统补丁管理，补丁更新；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5、安全防护的漏洞分析与管理：通过漏洞扫描工具识别系统安全漏洞；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6、日志事件分析与处置：实时针对异常流量分析、攻击日志和病毒日志分析；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</w:pPr>
            <w:r>
              <w:rPr>
                <w:rStyle w:val="7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7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服务器资源管理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1、服务器资源监测，资源使用情况监控；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2、梳理服务器相关资源，虚拟机创建、资源规划；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</w:pP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7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设备资产管理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1、网络设备资产分布管理、记录、统计；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2、设备信息记录：型号配置、IP地址、设备序列号、端口号、操作系统、应用系统等记录；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3、资产安装、设备手册资料、常见问题处理技术文档资料记录；</w:t>
            </w:r>
          </w:p>
          <w:p>
            <w:pPr>
              <w:keepNext w:val="0"/>
              <w:keepLines w:val="0"/>
              <w:widowControl/>
              <w:suppressLineNumbers w:val="0"/>
              <w:jc w:val="left"/>
              <w:textAlignment w:val="center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7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其他服务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1、重要节日等需要提供临时性的保障服务时，提供保障值守服务，保障服务范围内的系统正常运行；2、运维培训，对基础环境、资产梳训，通过指导、操作手册等对院方人员进行培训；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3、提供应急演练配合服务、市级、区级的信息安全攻防演练值守等服务；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4、季度巡检服务：定期对网络信息设备进行全面巡检服务，输出风险问题及整改方案建议；</w:t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br w:type="textWrapping"/>
            </w:r>
            <w:r>
              <w:rPr>
                <w:rStyle w:val="8"/>
                <w:rFonts w:hint="eastAsia" w:ascii="宋体" w:hAnsi="宋体" w:eastAsia="宋体" w:cs="宋体"/>
                <w:sz w:val="24"/>
                <w:szCs w:val="24"/>
                <w:lang w:val="en-US" w:eastAsia="zh-CN" w:bidi="ar"/>
              </w:rPr>
              <w:t>5、专人对接服务，7*24小时应急服务在现服务，严重故障自上报起6个小时到现场；</w:t>
            </w:r>
          </w:p>
        </w:tc>
        <w:tc>
          <w:tcPr>
            <w:tcW w:w="283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1</w:t>
            </w:r>
          </w:p>
        </w:tc>
        <w:tc>
          <w:tcPr>
            <w:tcW w:w="296" w:type="pct"/>
            <w:vMerge w:val="restart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  <w:r>
              <w:rPr>
                <w:rFonts w:hint="eastAsia" w:ascii="宋体" w:hAnsi="宋体" w:eastAsia="宋体" w:cs="宋体"/>
                <w:i w:val="0"/>
                <w:iCs w:val="0"/>
                <w:color w:val="000000"/>
                <w:kern w:val="0"/>
                <w:sz w:val="24"/>
                <w:szCs w:val="24"/>
                <w:u w:val="none"/>
                <w:lang w:val="en-US" w:eastAsia="zh-CN" w:bidi="ar"/>
              </w:rPr>
              <w:t>项</w:t>
            </w:r>
          </w:p>
        </w:tc>
        <w:tc>
          <w:tcPr>
            <w:tcW w:w="325" w:type="pct"/>
            <w:tcBorders>
              <w:top w:val="single" w:color="000000" w:sz="4" w:space="0"/>
              <w:left w:val="single" w:color="000000" w:sz="4" w:space="0"/>
              <w:bottom w:val="nil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545" w:hRule="atLeast"/>
        </w:trPr>
        <w:tc>
          <w:tcPr>
            <w:tcW w:w="249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19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3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9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559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1881" w:type="pct"/>
            <w:vMerge w:val="continue"/>
            <w:tcBorders>
              <w:top w:val="single" w:color="000000" w:sz="4" w:space="0"/>
              <w:left w:val="nil"/>
              <w:bottom w:val="single" w:color="000000" w:sz="4" w:space="0"/>
              <w:right w:val="nil"/>
            </w:tcBorders>
            <w:noWrap w:val="0"/>
            <w:vAlign w:val="center"/>
          </w:tcPr>
          <w:p>
            <w:pPr>
              <w:jc w:val="left"/>
              <w:rPr>
                <w:rFonts w:hint="eastAsia" w:ascii="宋体" w:hAnsi="宋体" w:eastAsia="宋体" w:cs="宋体"/>
                <w:b/>
                <w:bCs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83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296" w:type="pct"/>
            <w:vMerge w:val="continue"/>
            <w:tcBorders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  <w:tc>
          <w:tcPr>
            <w:tcW w:w="325" w:type="pct"/>
            <w:tcBorders>
              <w:top w:val="nil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/>
            <w:vAlign w:val="center"/>
          </w:tcPr>
          <w:p>
            <w:pPr>
              <w:rPr>
                <w:rFonts w:hint="eastAsia" w:ascii="宋体" w:hAnsi="宋体" w:eastAsia="宋体" w:cs="宋体"/>
                <w:i w:val="0"/>
                <w:iCs w:val="0"/>
                <w:color w:val="000000"/>
                <w:sz w:val="24"/>
                <w:szCs w:val="24"/>
                <w:u w:val="none"/>
              </w:rPr>
            </w:pPr>
          </w:p>
        </w:tc>
      </w:tr>
    </w:tbl>
    <w:p>
      <w:pPr>
        <w:autoSpaceDE w:val="0"/>
        <w:autoSpaceDN w:val="0"/>
        <w:spacing w:line="460" w:lineRule="exact"/>
        <w:jc w:val="left"/>
        <w:rPr>
          <w:rFonts w:hint="eastAsia" w:ascii="宋体" w:hAnsi="宋体" w:cs="宋体"/>
          <w:sz w:val="24"/>
        </w:rPr>
      </w:pPr>
    </w:p>
    <w:p/>
    <w:sectPr>
      <w:headerReference r:id="rId3" w:type="default"/>
      <w:footerReference r:id="rId4" w:type="default"/>
      <w:pgSz w:w="11910" w:h="16840"/>
      <w:pgMar w:top="1440" w:right="1080" w:bottom="1440" w:left="1080" w:header="720" w:footer="720" w:gutter="0"/>
      <w:cols w:space="720" w:num="1"/>
      <w:docGrid w:linePitch="286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</w:pPr>
    <w: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pStyle w:val="2"/>
                            <w:jc w:val="center"/>
                            <w:rPr>
                              <w:rFonts w:hint="eastAsia"/>
                            </w:rPr>
                          </w:pPr>
                          <w:r>
                            <w:rPr>
                              <w:rFonts w:hint="eastAsia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</w:rPr>
                            <w:fldChar w:fldCharType="separate"/>
                          </w:r>
                          <w:r>
                            <w:t>73</w:t>
                          </w:r>
                          <w:r>
                            <w:rPr>
                              <w:rFonts w:hint="eastAsia"/>
                            </w:rPr>
                            <w:fldChar w:fldCharType="end"/>
                          </w:r>
                        </w:p>
                      </w:txbxContent>
                    </wps:txbx>
                    <wps:bodyPr wrap="none" lIns="0" tIns="0" rIns="0" bIns="0" upright="0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zql5uc8AAAAF&#10;AQAADwAAAGRycy9kb3ducmV2LnhtbE2PMWvDMBCF90L/g7hAt0ZOhtY4ljMEsnRLWgrdFOtimUgn&#10;IymO/e9zLYV2Oe7xjnffq7eTd2LEmPpAClbLAgRSG0xPnYKP9/1zCSJlTUa7QKhgxgTb5vGh1pUJ&#10;NzrgeMyd4BBKlVZgcx4qKVNr0eu0DAMSe+cQvc4sYydN1DcO906ui+JFet0Tf7B6wJ3F9nK8egWv&#10;02fAIeEOv85jG20/l+5tVuppsSo2IDJO+e8YvvEZHRpmOoUrmSScAi6SfyZ767JkefpdZFPL//TN&#10;HVBLAwQUAAAACACHTuJA5KL+z8gBAACZAwAADgAAAGRycy9lMm9Eb2MueG1srVPNjtMwEL4j8Q6W&#10;79RpD6iKmq4WVYuQECAtPIDr2I0l/8njNukLwBtw4sKd5+pzMHaS7rJc9rAXZzwz/ma+byabm8Ea&#10;cpIRtHcNXS4qSqQTvtXu0NBvX+/erCmBxF3LjXeyoWcJ9Gb7+tWmD7Vc+c6bVkaCIA7qPjS0SynU&#10;jIHopOWw8EE6DCofLU94jQfWRt4jujVsVVVvWe9jG6IXEgC9uzFIJ8T4HECvlBZy58XRSpdG1CgN&#10;T0gJOh2Abku3SkmRPisFMhHTUGSayolF0N7nk203vD5EHjotphb4c1p4wsly7bDoFWrHEyfHqP+D&#10;slpED16lhfCWjUSKIshiWT3R5r7jQRYuKDWEq+jwcrDi0+lLJLrFTaDEcYsDv/z8cfn15/L7O1lm&#10;efoANWbdB8xLwzs/5NTJD+jMrAcVbf4iH4JxFPd8FVcOiYj8aL1arysMCYzNF8RhD89DhPReekuy&#10;0dCI0yui8tNHSGPqnJKrOX+njUE/r437x4GY2cNy72OP2UrDfpga3/v2jHx6HHxDHe45JeaDQ13z&#10;jsxGnI39bBxD1IeuLFGuB+H2mLCJ0luuMMJOhXFihd20XXklHt9L1sMftf0LUEsDBAoAAAAAAIdO&#10;4kAAAAAAAAAAAAAAAAAGAAAAX3JlbHMvUEsDBBQAAAAIAIdO4kCKFGY80QAAAJQBAAALAAAAX3Jl&#10;bHMvLnJlbHOlkMFqwzAMhu+DvYPRfXGawxijTi+j0GvpHsDYimMaW0Yy2fr28w6DZfS2o36h7xP/&#10;/vCZFrUiS6RsYNf1oDA78jEHA++X49MLKKk2e7tQRgM3FDiMjw/7My62tiOZYxHVKFkMzLWWV63F&#10;zZisdFQwt81EnGxtIwddrLvagHro+2fNvxkwbpjq5A3wyQ+gLrfSzH/YKTomoal2jpKmaYruHlUH&#10;tmWO7sg24Ru5RrMcsBrwLBoHalnXfgR9X7/7p97TRz7jutV+h4zrj1dvuhy/AFBLAwQUAAAACACH&#10;TuJAfublIPcAAADhAQAAEwAAAFtDb250ZW50X1R5cGVzXS54bWyVkUFOwzAQRfdI3MHyFiVOu0AI&#10;JemCtEtAqBxgZE8Si2RseUxob4+TthtEkVjaM/+/J7vcHMZBTBjYOqrkKi+kQNLOWOoq+b7fZQ9S&#10;cAQyMDjCSh6R5aa+vSn3R48sUpq4kn2M/lEp1j2OwLnzSGnSujBCTMfQKQ/6AzpU66K4V9pRRIpZ&#10;nDtkXTbYwucQxfaQrk8mAQeW4um0OLMqCd4PVkNMpmoi84OSnQl5Si473FvPd0lDql8J8+Q64Jx7&#10;SU8TrEHxCiE+w5g0lAmsjPuigFP+d8lsOXLm2tZqzJvATYq94XSxutaOa9c4/d/y7ZK6dKvlg+pv&#10;UEsBAhQAFAAAAAgAh07iQH7m5SD3AAAA4QEAABMAAAAAAAAAAQAgAAAAMAQAAFtDb250ZW50X1R5&#10;cGVzXS54bWxQSwECFAAKAAAAAACHTuJAAAAAAAAAAAAAAAAABgAAAAAAAAAAABAAAAASAwAAX3Jl&#10;bHMvUEsBAhQAFAAAAAgAh07iQIoUZjzRAAAAlAEAAAsAAAAAAAAAAQAgAAAANgMAAF9yZWxzLy5y&#10;ZWxzUEsBAhQACgAAAAAAh07iQAAAAAAAAAAAAAAAAAQAAAAAAAAAAAAQAAAAAAAAAGRycy9QSwEC&#10;FAAUAAAACACHTuJAzql5uc8AAAAFAQAADwAAAAAAAAABACAAAAAiAAAAZHJzL2Rvd25yZXYueG1s&#10;UEsBAhQAFAAAAAgAh07iQOSi/s/IAQAAmQMAAA4AAAAAAAAAAQAgAAAAHgEAAGRycy9lMm9Eb2Mu&#10;eG1sUEsFBgAAAAAGAAYAWQEAAFgFAAAAAA==&#10;">
              <v:fill on="f" focussize="0,0"/>
              <v:stroke on="f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jc w:val="center"/>
                      <w:rPr>
                        <w:rFonts w:hint="eastAsia"/>
                      </w:rPr>
                    </w:pPr>
                    <w:r>
                      <w:rPr>
                        <w:rFonts w:hint="eastAsia"/>
                      </w:rPr>
                      <w:fldChar w:fldCharType="begin"/>
                    </w:r>
                    <w:r>
                      <w:rPr>
                        <w:rFonts w:hint="eastAsia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</w:rPr>
                      <w:fldChar w:fldCharType="separate"/>
                    </w:r>
                    <w:r>
                      <w:t>73</w:t>
                    </w:r>
                    <w:r>
                      <w:rPr>
                        <w:rFonts w:hint="eastAsia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5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76C32FF"/>
    <w:rsid w:val="602A7D10"/>
    <w:rsid w:val="635C72E8"/>
    <w:rsid w:val="676C32FF"/>
    <w:rsid w:val="6B5A4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3">
    <w:name w:val="heading 1"/>
    <w:basedOn w:val="1"/>
    <w:next w:val="1"/>
    <w:qFormat/>
    <w:uiPriority w:val="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character" w:default="1" w:styleId="6">
    <w:name w:val="Default Paragraph Font"/>
    <w:semiHidden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kern w:val="0"/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sz w:val="24"/>
      <w:szCs w:val="24"/>
      <w:lang w:bidi="zh-CN"/>
    </w:rPr>
  </w:style>
  <w:style w:type="character" w:customStyle="1" w:styleId="7">
    <w:name w:val="font81"/>
    <w:basedOn w:val="6"/>
    <w:qFormat/>
    <w:uiPriority w:val="0"/>
    <w:rPr>
      <w:rFonts w:hint="eastAsia" w:ascii="宋体" w:hAnsi="宋体" w:eastAsia="宋体" w:cs="宋体"/>
      <w:b/>
      <w:bCs/>
      <w:color w:val="000000"/>
      <w:sz w:val="22"/>
      <w:szCs w:val="22"/>
      <w:u w:val="none"/>
    </w:rPr>
  </w:style>
  <w:style w:type="character" w:customStyle="1" w:styleId="8">
    <w:name w:val="font71"/>
    <w:basedOn w:val="6"/>
    <w:qFormat/>
    <w:uiPriority w:val="0"/>
    <w:rPr>
      <w:rFonts w:hint="eastAsia" w:ascii="宋体" w:hAnsi="宋体" w:eastAsia="宋体" w:cs="宋体"/>
      <w:color w:val="000000"/>
      <w:sz w:val="22"/>
      <w:szCs w:val="22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Office_11.8.2.10229_F1E327BC-269C-435d-A152-05C5408002CA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2024-12-11T02:55:00Z</dcterms:created>
  <dc:creator>LHF</dc:creator>
  <cp:lastModifiedBy>LHF</cp:lastModifiedBy>
  <dcterms:modified xsi:type="dcterms:W3CDTF">2024-12-12T00:07:09Z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2052-11.8.2.10229</vt:lpwstr>
  </property>
</Properties>
</file>