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before="0" w:after="0" w:line="240" w:lineRule="auto"/>
        <w:jc w:val="center"/>
        <w:outlineLvl w:val="9"/>
        <w:rPr>
          <w:rFonts w:hint="default" w:ascii="Times New Roman" w:hAnsi="Times New Roman" w:cs="Times New Roman"/>
          <w:b/>
          <w:bCs/>
          <w:color w:val="auto"/>
          <w:sz w:val="36"/>
          <w:szCs w:val="36"/>
          <w:highlight w:val="none"/>
          <w:lang w:val="en-US" w:eastAsia="zh-CN"/>
        </w:rPr>
      </w:pPr>
      <w:bookmarkStart w:id="0" w:name="_Toc5483"/>
      <w:bookmarkStart w:id="1" w:name="_Toc12423"/>
      <w:bookmarkStart w:id="2" w:name="_Toc44229894"/>
      <w:r>
        <w:rPr>
          <w:rFonts w:hint="default" w:ascii="Times New Roman" w:hAnsi="Times New Roman" w:cs="Times New Roman"/>
          <w:b/>
          <w:bCs/>
          <w:color w:val="auto"/>
          <w:sz w:val="36"/>
          <w:szCs w:val="36"/>
          <w:highlight w:val="none"/>
          <w:lang w:val="en-US" w:eastAsia="zh-CN"/>
        </w:rPr>
        <w:t>供应商须知</w:t>
      </w:r>
    </w:p>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cs="Times New Roman"/>
          <w:b/>
          <w:bCs/>
          <w:color w:val="auto"/>
          <w:sz w:val="28"/>
          <w:szCs w:val="28"/>
          <w:highlight w:val="none"/>
        </w:rPr>
      </w:pPr>
      <w:bookmarkStart w:id="3" w:name="_Toc35393798"/>
      <w:bookmarkStart w:id="4" w:name="_Toc44229878"/>
      <w:bookmarkStart w:id="5" w:name="_Toc35393629"/>
      <w:bookmarkStart w:id="6" w:name="_Toc28359089"/>
      <w:bookmarkStart w:id="7" w:name="_Toc28359012"/>
      <w:r>
        <w:rPr>
          <w:rFonts w:hint="default" w:ascii="Times New Roman" w:hAnsi="Times New Roman" w:cs="Times New Roman"/>
          <w:b/>
          <w:bCs/>
          <w:color w:val="auto"/>
          <w:sz w:val="21"/>
          <w:szCs w:val="21"/>
          <w:highlight w:val="none"/>
        </w:rPr>
        <w:t>一、</w:t>
      </w:r>
      <w:r>
        <w:rPr>
          <w:rFonts w:hint="default" w:ascii="Times New Roman" w:hAnsi="Times New Roman" w:cs="Times New Roman"/>
          <w:b/>
          <w:bCs/>
          <w:color w:val="auto"/>
          <w:sz w:val="28"/>
          <w:szCs w:val="28"/>
          <w:highlight w:val="none"/>
        </w:rPr>
        <w:t>项目基本情况</w:t>
      </w:r>
      <w:bookmarkEnd w:id="3"/>
      <w:bookmarkEnd w:id="4"/>
      <w:bookmarkEnd w:id="5"/>
      <w:bookmarkEnd w:id="6"/>
      <w:bookmarkEnd w:id="7"/>
    </w:p>
    <w:p>
      <w:pPr>
        <w:pageBreakBefore w:val="0"/>
        <w:kinsoku/>
        <w:wordWrap/>
        <w:overflowPunct/>
        <w:topLinePunct w:val="0"/>
        <w:autoSpaceDE/>
        <w:autoSpaceDN/>
        <w:bidi w:val="0"/>
        <w:spacing w:line="360" w:lineRule="auto"/>
        <w:ind w:firstLine="560" w:firstLineChars="200"/>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.项目名称：</w:t>
      </w:r>
      <w:r>
        <w:rPr>
          <w:rFonts w:hint="eastAsia" w:cs="Times New Roman"/>
          <w:color w:val="auto"/>
          <w:sz w:val="28"/>
          <w:szCs w:val="28"/>
          <w:highlight w:val="none"/>
          <w:lang w:val="en-US" w:eastAsia="zh-CN"/>
        </w:rPr>
        <w:t>桂平市中医</w:t>
      </w:r>
      <w:r>
        <w:rPr>
          <w:rFonts w:hint="eastAsia" w:cs="Times New Roman"/>
          <w:color w:val="auto"/>
          <w:sz w:val="28"/>
          <w:szCs w:val="28"/>
          <w:highlight w:val="none"/>
          <w:lang w:eastAsia="zh-CN"/>
        </w:rPr>
        <w:t>医院污水处理站运营服务项目</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采购方式</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竞争性磋商</w:t>
      </w:r>
    </w:p>
    <w:p>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.预算金额</w:t>
      </w:r>
      <w:r>
        <w:rPr>
          <w:rFonts w:hint="default" w:ascii="Times New Roman" w:hAnsi="Times New Roman" w:cs="Times New Roman"/>
          <w:color w:val="auto"/>
          <w:sz w:val="28"/>
          <w:szCs w:val="28"/>
          <w:highlight w:val="none"/>
          <w:lang w:eastAsia="zh-CN"/>
        </w:rPr>
        <w:t>及</w:t>
      </w:r>
      <w:r>
        <w:rPr>
          <w:rFonts w:hint="default" w:ascii="Times New Roman" w:hAnsi="Times New Roman" w:cs="Times New Roman"/>
          <w:color w:val="auto"/>
          <w:sz w:val="28"/>
          <w:szCs w:val="28"/>
          <w:highlight w:val="none"/>
        </w:rPr>
        <w:t>合同履行期限：</w:t>
      </w:r>
      <w:r>
        <w:rPr>
          <w:rFonts w:hint="default" w:ascii="Times New Roman" w:hAnsi="Times New Roman" w:cs="Times New Roman"/>
          <w:color w:val="auto"/>
          <w:sz w:val="28"/>
          <w:szCs w:val="28"/>
          <w:highlight w:val="none"/>
          <w:u w:val="single"/>
          <w:lang w:val="en-US" w:eastAsia="zh-CN"/>
        </w:rPr>
        <w:t xml:space="preserve"> </w:t>
      </w:r>
      <w:bookmarkStart w:id="14" w:name="_GoBack"/>
      <w:bookmarkEnd w:id="14"/>
      <w:r>
        <w:rPr>
          <w:rFonts w:hint="eastAsia" w:cs="Times New Roman"/>
          <w:color w:val="auto"/>
          <w:sz w:val="28"/>
          <w:szCs w:val="28"/>
          <w:highlight w:val="none"/>
          <w:u w:val="single"/>
          <w:lang w:val="en-US" w:eastAsia="zh-CN"/>
        </w:rPr>
        <w:t>207031.00</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lang w:val="en-US" w:eastAsia="zh-CN"/>
        </w:rPr>
        <w:t>元/年，</w:t>
      </w:r>
      <w:r>
        <w:rPr>
          <w:rFonts w:hint="eastAsia" w:ascii="Times New Roman" w:hAnsi="Times New Roman" w:eastAsia="宋体" w:cs="Times New Roman"/>
          <w:color w:val="auto"/>
          <w:sz w:val="28"/>
          <w:szCs w:val="28"/>
          <w:highlight w:val="none"/>
        </w:rPr>
        <w:t>合同履行期限</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2年，合同期满后经业主方考核评分合格后可续签合同一年。（附考核要求表）。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.本项目不接受联合体</w:t>
      </w:r>
      <w:r>
        <w:rPr>
          <w:rFonts w:hint="default" w:ascii="Times New Roman" w:hAnsi="Times New Roman" w:cs="Times New Roman"/>
          <w:color w:val="auto"/>
          <w:sz w:val="28"/>
          <w:szCs w:val="28"/>
          <w:highlight w:val="none"/>
          <w:lang w:val="en-US" w:eastAsia="zh-CN"/>
        </w:rPr>
        <w:t>投标。</w:t>
      </w:r>
    </w:p>
    <w:p>
      <w:pPr>
        <w:pStyle w:val="20"/>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560" w:firstLineChars="200"/>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cs="Times New Roman"/>
          <w:color w:val="auto"/>
          <w:kern w:val="2"/>
          <w:sz w:val="28"/>
          <w:szCs w:val="28"/>
          <w:highlight w:val="none"/>
          <w:lang w:val="en-US" w:eastAsia="zh-CN" w:bidi="ar-SA"/>
        </w:rPr>
        <w:t>5.</w:t>
      </w:r>
      <w:r>
        <w:rPr>
          <w:rFonts w:hint="default" w:ascii="Times New Roman" w:hAnsi="Times New Roman" w:eastAsia="宋体" w:cs="Times New Roman"/>
          <w:color w:val="auto"/>
          <w:kern w:val="2"/>
          <w:sz w:val="28"/>
          <w:szCs w:val="28"/>
          <w:highlight w:val="none"/>
          <w:lang w:val="en-US" w:eastAsia="zh-CN" w:bidi="ar-SA"/>
        </w:rPr>
        <w:t>本项目不接受未购买本招标采购文件的供应商投标。</w:t>
      </w:r>
    </w:p>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cs="Times New Roman"/>
          <w:b/>
          <w:bCs/>
          <w:color w:val="auto"/>
          <w:sz w:val="28"/>
          <w:szCs w:val="28"/>
          <w:highlight w:val="none"/>
        </w:rPr>
      </w:pPr>
      <w:bookmarkStart w:id="8" w:name="_Toc35393630"/>
      <w:bookmarkStart w:id="9" w:name="_Toc28359090"/>
      <w:bookmarkStart w:id="10" w:name="_Toc28359013"/>
      <w:bookmarkStart w:id="11" w:name="_Toc35393799"/>
      <w:bookmarkStart w:id="12" w:name="_Toc44229879"/>
      <w:r>
        <w:rPr>
          <w:rFonts w:hint="default" w:ascii="Times New Roman" w:hAnsi="Times New Roman" w:cs="Times New Roman"/>
          <w:b/>
          <w:bCs/>
          <w:color w:val="auto"/>
          <w:sz w:val="28"/>
          <w:szCs w:val="28"/>
          <w:highlight w:val="none"/>
        </w:rPr>
        <w:t>二、供应商的资格条件：</w:t>
      </w:r>
      <w:bookmarkEnd w:id="8"/>
      <w:bookmarkEnd w:id="9"/>
      <w:bookmarkEnd w:id="10"/>
      <w:bookmarkEnd w:id="11"/>
      <w:bookmarkEnd w:id="12"/>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rPr>
        <w:t>1、遵守《中华人民共和国招投标法》、《中华人民共和国政府采购法》、《中华人民共和国</w:t>
      </w:r>
      <w:r>
        <w:rPr>
          <w:rFonts w:hint="eastAsia" w:cs="Times New Roman"/>
          <w:color w:val="auto"/>
          <w:sz w:val="28"/>
          <w:szCs w:val="28"/>
          <w:highlight w:val="none"/>
          <w:lang w:val="en-US" w:eastAsia="zh-CN"/>
        </w:rPr>
        <w:t>民法典</w:t>
      </w:r>
      <w:r>
        <w:rPr>
          <w:rFonts w:hint="default" w:ascii="Times New Roman" w:hAnsi="Times New Roman" w:cs="Times New Roman"/>
          <w:color w:val="auto"/>
          <w:sz w:val="28"/>
          <w:szCs w:val="28"/>
          <w:highlight w:val="none"/>
        </w:rPr>
        <w:t>》等相关法律法规；国内注册，具有法人资格</w:t>
      </w:r>
      <w:r>
        <w:rPr>
          <w:rFonts w:hint="default" w:ascii="Times New Roman" w:hAnsi="Times New Roman" w:eastAsia="宋体" w:cs="Times New Roman"/>
          <w:color w:val="auto"/>
          <w:sz w:val="28"/>
          <w:szCs w:val="28"/>
          <w:highlight w:val="none"/>
        </w:rPr>
        <w:t>，具备相关项目经营范围的单位；</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、本项目不允许分包或转包，不接受联合体形式的供应商；</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、本项目不接受未领取</w:t>
      </w:r>
      <w:r>
        <w:rPr>
          <w:rFonts w:hint="default" w:ascii="Times New Roman" w:hAnsi="Times New Roman" w:eastAsia="宋体" w:cs="Times New Roman"/>
          <w:color w:val="auto"/>
          <w:sz w:val="28"/>
          <w:szCs w:val="28"/>
          <w:highlight w:val="none"/>
          <w:lang w:val="en-US" w:eastAsia="zh-CN"/>
        </w:rPr>
        <w:t>招标</w:t>
      </w:r>
      <w:r>
        <w:rPr>
          <w:rFonts w:hint="default" w:ascii="Times New Roman" w:hAnsi="Times New Roman" w:eastAsia="宋体" w:cs="Times New Roman"/>
          <w:color w:val="auto"/>
          <w:sz w:val="28"/>
          <w:szCs w:val="28"/>
          <w:highlight w:val="none"/>
        </w:rPr>
        <w:t>文件的供应商参与</w:t>
      </w:r>
      <w:r>
        <w:rPr>
          <w:rFonts w:hint="default" w:ascii="Times New Roman" w:hAnsi="Times New Roman" w:eastAsia="宋体" w:cs="Times New Roman"/>
          <w:color w:val="auto"/>
          <w:sz w:val="28"/>
          <w:szCs w:val="28"/>
          <w:highlight w:val="none"/>
          <w:lang w:eastAsia="zh-CN"/>
        </w:rPr>
        <w:t>磋商；</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满足《中华人民共和国政府采购法》第二十二条规定；</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落实政府采购政策需满足的资格要求：无</w:t>
      </w:r>
    </w:p>
    <w:p>
      <w:pPr>
        <w:pageBreakBefore w:val="0"/>
        <w:kinsoku/>
        <w:wordWrap/>
        <w:overflowPunct/>
        <w:topLinePunct w:val="0"/>
        <w:autoSpaceDE/>
        <w:autoSpaceDN/>
        <w:bidi w:val="0"/>
        <w:spacing w:line="36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本项目的特定资格要求：</w:t>
      </w:r>
    </w:p>
    <w:p>
      <w:pPr>
        <w:pageBreakBefore w:val="0"/>
        <w:kinsoku/>
        <w:wordWrap/>
        <w:overflowPunct/>
        <w:topLinePunct w:val="0"/>
        <w:autoSpaceDE/>
        <w:autoSpaceDN/>
        <w:bidi w:val="0"/>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ageBreakBefore w:val="0"/>
        <w:kinsoku/>
        <w:wordWrap/>
        <w:overflowPunct/>
        <w:topLinePunct w:val="0"/>
        <w:autoSpaceDE/>
        <w:autoSpaceDN/>
        <w:bidi w:val="0"/>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10"/>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color w:val="auto"/>
          <w:spacing w:val="0"/>
          <w:sz w:val="28"/>
          <w:szCs w:val="28"/>
          <w:highlight w:val="none"/>
        </w:rPr>
      </w:pPr>
      <w:r>
        <w:rPr>
          <w:rFonts w:hint="default" w:ascii="Times New Roman" w:hAnsi="Times New Roman" w:cs="Times New Roman"/>
          <w:b/>
          <w:color w:val="auto"/>
          <w:spacing w:val="0"/>
          <w:sz w:val="28"/>
          <w:szCs w:val="28"/>
          <w:highlight w:val="none"/>
          <w:lang w:val="en-US" w:eastAsia="zh-CN"/>
        </w:rPr>
        <w:t>三、招标文件</w:t>
      </w:r>
      <w:r>
        <w:rPr>
          <w:rFonts w:hint="default" w:ascii="Times New Roman" w:hAnsi="Times New Roman" w:eastAsia="宋体" w:cs="Times New Roman"/>
          <w:b/>
          <w:color w:val="auto"/>
          <w:spacing w:val="0"/>
          <w:sz w:val="28"/>
          <w:szCs w:val="28"/>
          <w:highlight w:val="none"/>
        </w:rPr>
        <w:t>的获取：</w:t>
      </w:r>
    </w:p>
    <w:p>
      <w:pPr>
        <w:pageBreakBefore w:val="0"/>
        <w:kinsoku/>
        <w:wordWrap/>
        <w:overflowPunct/>
        <w:topLinePunct w:val="0"/>
        <w:autoSpaceDE/>
        <w:autoSpaceDN/>
        <w:bidi w:val="0"/>
        <w:snapToGrid/>
        <w:spacing w:before="0" w:after="0" w:line="240" w:lineRule="auto"/>
        <w:jc w:val="left"/>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br w:type="page"/>
      </w:r>
    </w:p>
    <w:p>
      <w:pPr>
        <w:pageBreakBefore w:val="0"/>
        <w:kinsoku/>
        <w:wordWrap/>
        <w:overflowPunct/>
        <w:topLinePunct w:val="0"/>
        <w:autoSpaceDE/>
        <w:autoSpaceDN/>
        <w:bidi w:val="0"/>
        <w:snapToGrid w:val="0"/>
        <w:spacing w:before="120" w:after="120" w:line="360" w:lineRule="auto"/>
        <w:jc w:val="center"/>
        <w:outlineLvl w:val="0"/>
        <w:rPr>
          <w:rStyle w:val="19"/>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招标项目采购需求</w:t>
      </w:r>
      <w:bookmarkEnd w:id="0"/>
      <w:bookmarkEnd w:id="1"/>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Style w:val="19"/>
          <w:rFonts w:hint="default" w:ascii="Times New Roman" w:hAnsi="Times New Roman" w:cs="Times New Roman"/>
          <w:b/>
          <w:bCs/>
          <w:color w:val="auto"/>
          <w:sz w:val="28"/>
          <w:szCs w:val="28"/>
          <w:highlight w:val="none"/>
          <w:lang w:eastAsia="zh-CN"/>
        </w:rPr>
      </w:pPr>
      <w:r>
        <w:rPr>
          <w:rStyle w:val="19"/>
          <w:rFonts w:hint="default" w:ascii="Times New Roman" w:hAnsi="Times New Roman" w:cs="Times New Roman"/>
          <w:b/>
          <w:bCs/>
          <w:color w:val="auto"/>
          <w:sz w:val="28"/>
          <w:szCs w:val="28"/>
          <w:highlight w:val="none"/>
          <w:lang w:eastAsia="zh-CN"/>
        </w:rPr>
        <w:t>技术需求：</w:t>
      </w:r>
    </w:p>
    <w:p>
      <w:pPr>
        <w:pStyle w:val="27"/>
        <w:numPr>
          <w:ilvl w:val="0"/>
          <w:numId w:val="0"/>
        </w:numPr>
        <w:spacing w:line="240" w:lineRule="auto"/>
        <w:ind w:leftChars="200"/>
        <w:rPr>
          <w:rFonts w:ascii="宋体"/>
          <w:b/>
          <w:sz w:val="28"/>
          <w:szCs w:val="28"/>
          <w:highlight w:val="none"/>
        </w:rPr>
      </w:pPr>
      <w:r>
        <w:rPr>
          <w:rFonts w:hint="eastAsia" w:ascii="宋体"/>
          <w:b/>
          <w:sz w:val="28"/>
          <w:szCs w:val="28"/>
          <w:highlight w:val="none"/>
          <w:lang w:val="en-US" w:eastAsia="zh-CN"/>
        </w:rPr>
        <w:t>一、</w:t>
      </w:r>
      <w:r>
        <w:rPr>
          <w:rFonts w:hint="eastAsia" w:ascii="宋体"/>
          <w:b/>
          <w:sz w:val="28"/>
          <w:szCs w:val="28"/>
          <w:highlight w:val="none"/>
        </w:rPr>
        <w:t>项目概况</w:t>
      </w:r>
    </w:p>
    <w:p>
      <w:pPr>
        <w:ind w:firstLine="560" w:firstLineChars="200"/>
        <w:rPr>
          <w:rFonts w:hint="eastAsia" w:ascii="宋体"/>
          <w:sz w:val="28"/>
          <w:szCs w:val="28"/>
          <w:highlight w:val="none"/>
        </w:rPr>
      </w:pPr>
      <w:r>
        <w:rPr>
          <w:rFonts w:hint="eastAsia" w:ascii="宋体" w:hAnsi="宋体" w:cs="宋体"/>
          <w:sz w:val="28"/>
          <w:szCs w:val="28"/>
          <w:highlight w:val="none"/>
          <w:lang w:val="en-US" w:eastAsia="zh-CN"/>
        </w:rPr>
        <w:t>桂平中医医院现有污水站1座</w:t>
      </w:r>
      <w:r>
        <w:rPr>
          <w:rFonts w:hint="eastAsia" w:ascii="宋体" w:hAnsi="宋体" w:eastAsia="宋体" w:cs="宋体"/>
          <w:sz w:val="28"/>
          <w:szCs w:val="28"/>
          <w:highlight w:val="none"/>
        </w:rPr>
        <w:t>，处理后的污水达到《医疗机构水污染物排放标准》（GB18466-2005）预处理标准</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Style w:val="19"/>
          <w:rFonts w:hint="default" w:ascii="Times New Roman" w:hAnsi="Times New Roman" w:cs="Times New Roman"/>
          <w:b/>
          <w:bCs/>
          <w:color w:val="auto"/>
          <w:sz w:val="28"/>
          <w:szCs w:val="28"/>
          <w:highlight w:val="none"/>
          <w:lang w:val="en-US" w:eastAsia="zh-CN"/>
        </w:rPr>
      </w:pPr>
      <w:r>
        <w:rPr>
          <w:rStyle w:val="19"/>
          <w:rFonts w:hint="eastAsia" w:cs="Times New Roman"/>
          <w:b/>
          <w:bCs/>
          <w:color w:val="auto"/>
          <w:sz w:val="28"/>
          <w:szCs w:val="28"/>
          <w:highlight w:val="none"/>
          <w:lang w:val="en-US" w:eastAsia="zh-CN"/>
        </w:rPr>
        <w:t>二、人员投入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▲投入人员要求：污水投入消毒药品，成交供应商投入人员须具备危险化学品经营单位安全生产管理人员1人，响应文件中提供证书复印件，原件备查。</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Style w:val="19"/>
          <w:rFonts w:hint="default" w:ascii="Times New Roman" w:hAnsi="Times New Roman" w:eastAsia="宋体" w:cs="Times New Roman"/>
          <w:b/>
          <w:bCs/>
          <w:color w:val="auto"/>
          <w:sz w:val="28"/>
          <w:szCs w:val="28"/>
          <w:highlight w:val="none"/>
          <w:lang w:val="en-US" w:eastAsia="zh-CN"/>
        </w:rPr>
      </w:pPr>
      <w:r>
        <w:rPr>
          <w:rStyle w:val="19"/>
          <w:rFonts w:hint="eastAsia" w:ascii="Times New Roman" w:hAnsi="Times New Roman" w:eastAsia="宋体" w:cs="Times New Roman"/>
          <w:b/>
          <w:bCs/>
          <w:color w:val="auto"/>
          <w:sz w:val="28"/>
          <w:szCs w:val="28"/>
          <w:highlight w:val="none"/>
          <w:lang w:val="en-US" w:eastAsia="zh-CN"/>
        </w:rPr>
        <w:t>三、服务内容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负责派遣驻点配备持证上岗的专业操作人员并在方案中附上用于本次项目的投入人员名单及有效证书、身份证复印件，配合环保部门定期填写数据资料。操作运行全套污水处理系统，并承担因此所产生的所有费用（</w:t>
      </w:r>
      <w:r>
        <w:rPr>
          <w:rFonts w:hint="eastAsia" w:ascii="宋体" w:hAnsi="宋体" w:cs="宋体"/>
          <w:color w:val="auto"/>
          <w:sz w:val="28"/>
          <w:szCs w:val="28"/>
          <w:highlight w:val="none"/>
          <w:lang w:val="en-US" w:eastAsia="zh-CN"/>
        </w:rPr>
        <w:t>不</w:t>
      </w:r>
      <w:r>
        <w:rPr>
          <w:rFonts w:hint="eastAsia" w:ascii="宋体" w:hAnsi="宋体" w:eastAsia="宋体" w:cs="宋体"/>
          <w:color w:val="auto"/>
          <w:sz w:val="28"/>
          <w:szCs w:val="28"/>
          <w:highlight w:val="none"/>
          <w:lang w:val="en-US" w:eastAsia="zh-CN"/>
        </w:rPr>
        <w:t>含</w:t>
      </w:r>
      <w:r>
        <w:rPr>
          <w:rFonts w:hint="eastAsia" w:ascii="宋体" w:hAnsi="宋体" w:cs="宋体"/>
          <w:color w:val="auto"/>
          <w:sz w:val="28"/>
          <w:szCs w:val="28"/>
          <w:highlight w:val="none"/>
          <w:lang w:val="en-US" w:eastAsia="zh-CN"/>
        </w:rPr>
        <w:t>水</w:t>
      </w:r>
      <w:r>
        <w:rPr>
          <w:rFonts w:hint="eastAsia" w:ascii="宋体" w:hAnsi="宋体" w:eastAsia="宋体" w:cs="宋体"/>
          <w:color w:val="auto"/>
          <w:sz w:val="28"/>
          <w:szCs w:val="28"/>
          <w:highlight w:val="none"/>
          <w:lang w:val="en-US" w:eastAsia="zh-CN"/>
        </w:rPr>
        <w:t>电费）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供应商负责污水处理所需药剂的采购、运输、保管、投放等工作，并承担因此所产生的所有费用。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供应商现提供的证照，在合同期内应保证合法有效。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供应商必须保证污水处理结果符合国家标准和地方环保部门的要求。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供应商全年有人值守，并做好日常记录。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供应商应按国家及地方污水排放标准和有关法规要求做好日常污水处理的监测和相关记录。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采购人有权监督供应商污水处理站的运行情况，如供应商出现一年中连续3次以上环保、卫生部门监测不达标，采购人有权解除合同，由此造成的损失全部由供应商承担。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供应商应将污水处理系统运行的管理规章制度报采购人备案。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供应商必须妥善维护、使用、保管污水处理设施，保证污水处理主体设备的正常使用。</w:t>
      </w:r>
      <w:r>
        <w:rPr>
          <w:rFonts w:hint="eastAsia" w:ascii="宋体" w:hAnsi="宋体" w:cs="宋体"/>
          <w:color w:val="auto"/>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除日常的维护工作，供应商还需负责对设备进行保养、维修和更换等工作，包括对所有设备的及时修理，确保其稳定运行并达到排放标准。其中，每次维修或更换设备、配件单价超过1000元（以审计科审核价为准）的，由采购人负责采购，供应商负责维修、更换、安装、调试等；每次维修或更换设备、配件单价低于1000元(含)（以审计科审核价为准）的，全部由供应商负责。每次维修或更换设备、配件时，供应商应提前以书面形式将详细内容报告给采购人，并得到采购人的同意后方可进行维修或更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供应商负责</w:t>
      </w:r>
      <w:r>
        <w:rPr>
          <w:rFonts w:hint="eastAsia" w:ascii="宋体" w:hAnsi="宋体" w:eastAsia="宋体" w:cs="宋体"/>
          <w:color w:val="auto"/>
          <w:sz w:val="28"/>
          <w:szCs w:val="28"/>
          <w:highlight w:val="none"/>
          <w:lang w:val="en-US" w:eastAsia="zh-CN"/>
        </w:rPr>
        <w:t>委托</w:t>
      </w:r>
      <w:r>
        <w:rPr>
          <w:rFonts w:hint="eastAsia" w:ascii="宋体" w:hAnsi="宋体" w:eastAsia="宋体" w:cs="宋体"/>
          <w:sz w:val="28"/>
          <w:szCs w:val="28"/>
          <w:highlight w:val="none"/>
          <w:lang w:val="en-US" w:eastAsia="zh-CN"/>
        </w:rPr>
        <w:t>第三方水质检测公司进行水质检测工作，并对水质检测报告数值进行持续跟踪分析，确保全面客观了解污水处理站运行状况，确保无异常情况发生。</w:t>
      </w:r>
      <w:r>
        <w:rPr>
          <w:rFonts w:hint="eastAsia" w:ascii="宋体" w:hAnsi="宋体" w:cs="宋体"/>
          <w:sz w:val="28"/>
          <w:szCs w:val="28"/>
          <w:highlight w:val="none"/>
          <w:lang w:val="en-US" w:eastAsia="zh-CN"/>
        </w:rPr>
        <w:t>（附检测清单）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在供应商运营期间，污水处理站的建筑物需装修或维修以及池底的构筑物损坏需进行维修，供应商应提前将详细内容以书面形式报采购人，该维修、装修费用均由采购人承担。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供应商运营期间，在国家有关法规、污水处理排放标准或环保主管部门的要求发生变化时，需要添加新设备，供应商应将添加新设备的目的和详细内容及价格以书面形式报采购人，经过采购人同意后方可实施。供应商添加新设备及土建的费用由采购人自行承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医院内工作和生活的供应商有关人员，应具备与工作岗位相关的必要的证件（如身份证、环境保护设施运行人员考试合格证书（污废水处理工）等），并提供相关人员资料向采购人报备。供应商自觉遵守国家法律法规以及采购人的规章制度，服从采购人的监督与管理，不得影响医院正常工作和生活。如有违反，采购人有权要求供应商更换工作人员，否则采购人有权解除合同，由此造成的损失全部由供应商承担。另外，供应商所聘请的工作人员工资福利、医疗保险、人身安全等突发伤亡等所产生的一切开支均由供应商负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由于供应商责任造成污水处理结果不达标而给采购人造成的损失及产生的费用，全部由供应商承担（因不可抗拒的原因如：自然灾害、停电、停水等造成的不达标除外）。如采购人因此受到有关部门罚款，罚款由供应商承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不可抗力事件发生后，双方应通过友好协商，确定是否继续履行合同以及弥补损失的办法；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如因政府政策原因，造成合同需要进行变更，双方通过协商解决。</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供应商负责环保部门、卫生监督部门等所有部门工作检查中的汇报和答疑，且配合医院制作检查时所需材料，如安全生产检查、环保检查等。</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22" w:firstLineChars="200"/>
        <w:jc w:val="both"/>
        <w:textAlignment w:val="auto"/>
        <w:rPr>
          <w:rStyle w:val="19"/>
          <w:rFonts w:hint="default" w:ascii="Times New Roman" w:hAnsi="Times New Roman" w:cs="Times New Roman"/>
          <w:b/>
          <w:bCs/>
          <w:color w:val="auto"/>
          <w:sz w:val="21"/>
          <w:szCs w:val="21"/>
          <w:highlight w:val="none"/>
          <w:lang w:eastAsia="zh-CN"/>
        </w:rPr>
      </w:pPr>
    </w:p>
    <w:p>
      <w:pPr>
        <w:pStyle w:val="9"/>
        <w:keepNext w:val="0"/>
        <w:keepLines w:val="0"/>
        <w:pageBreakBefore w:val="0"/>
        <w:widowControl w:val="0"/>
        <w:kinsoku/>
        <w:wordWrap/>
        <w:overflowPunct/>
        <w:topLinePunct w:val="0"/>
        <w:autoSpaceDE/>
        <w:autoSpaceDN/>
        <w:bidi w:val="0"/>
        <w:adjustRightInd/>
        <w:spacing w:line="360" w:lineRule="auto"/>
        <w:ind w:leftChars="-16" w:hanging="44" w:hangingChars="16"/>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▲商务</w:t>
      </w:r>
      <w:r>
        <w:rPr>
          <w:rFonts w:hint="eastAsia" w:ascii="宋体" w:hAnsi="宋体" w:eastAsia="宋体" w:cs="宋体"/>
          <w:color w:val="auto"/>
          <w:sz w:val="28"/>
          <w:szCs w:val="28"/>
          <w:highlight w:val="none"/>
          <w:u w:val="none"/>
          <w:lang w:val="en-US" w:eastAsia="zh-CN"/>
        </w:rPr>
        <w:t>需求</w:t>
      </w:r>
      <w:r>
        <w:rPr>
          <w:rFonts w:hint="eastAsia" w:ascii="宋体" w:hAnsi="宋体" w:eastAsia="宋体" w:cs="宋体"/>
          <w:color w:val="auto"/>
          <w:sz w:val="28"/>
          <w:szCs w:val="28"/>
          <w:highlight w:val="none"/>
          <w:u w:val="none"/>
          <w:lang w:eastAsia="zh-CN"/>
        </w:rPr>
        <w:t xml:space="preserve"> </w:t>
      </w:r>
    </w:p>
    <w:p>
      <w:pPr>
        <w:pStyle w:val="9"/>
        <w:keepNext w:val="0"/>
        <w:keepLines w:val="0"/>
        <w:pageBreakBefore w:val="0"/>
        <w:widowControl w:val="0"/>
        <w:kinsoku/>
        <w:wordWrap/>
        <w:overflowPunct/>
        <w:topLinePunct w:val="0"/>
        <w:autoSpaceDE/>
        <w:autoSpaceDN/>
        <w:bidi w:val="0"/>
        <w:adjustRightInd/>
        <w:spacing w:line="360" w:lineRule="auto"/>
        <w:ind w:leftChars="-16"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1</w:t>
      </w:r>
      <w:r>
        <w:rPr>
          <w:rStyle w:val="19"/>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none"/>
          <w:lang w:eastAsia="zh-CN"/>
        </w:rPr>
        <w:t>合同签订时间：自成交通知书发出之日起25个日历日内</w:t>
      </w:r>
      <w:r>
        <w:rPr>
          <w:rFonts w:hint="eastAsia" w:ascii="宋体" w:hAnsi="宋体" w:cs="宋体"/>
          <w:color w:val="auto"/>
          <w:sz w:val="28"/>
          <w:szCs w:val="28"/>
          <w:highlight w:val="none"/>
          <w:u w:val="none"/>
          <w:lang w:eastAsia="zh-CN"/>
        </w:rPr>
        <w:t>。</w:t>
      </w:r>
    </w:p>
    <w:p>
      <w:pPr>
        <w:pStyle w:val="9"/>
        <w:keepNext w:val="0"/>
        <w:keepLines w:val="0"/>
        <w:pageBreakBefore w:val="0"/>
        <w:widowControl w:val="0"/>
        <w:kinsoku/>
        <w:wordWrap/>
        <w:overflowPunct/>
        <w:topLinePunct w:val="0"/>
        <w:autoSpaceDE/>
        <w:autoSpaceDN/>
        <w:bidi w:val="0"/>
        <w:adjustRightInd/>
        <w:spacing w:line="360" w:lineRule="auto"/>
        <w:ind w:leftChars="-16"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lang w:val="en-US" w:eastAsia="zh-CN"/>
        </w:rPr>
        <w:t>2</w:t>
      </w:r>
      <w:r>
        <w:rPr>
          <w:rStyle w:val="19"/>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none"/>
          <w:lang w:eastAsia="zh-CN"/>
        </w:rPr>
        <w:t>服务</w:t>
      </w:r>
      <w:r>
        <w:rPr>
          <w:rFonts w:hint="default" w:ascii="Times New Roman" w:hAnsi="Times New Roman" w:cs="Times New Roman"/>
          <w:color w:val="auto"/>
          <w:sz w:val="28"/>
          <w:szCs w:val="28"/>
          <w:highlight w:val="none"/>
        </w:rPr>
        <w:t>履行期限</w:t>
      </w:r>
      <w:r>
        <w:rPr>
          <w:rFonts w:hint="eastAsia" w:ascii="宋体" w:hAnsi="宋体" w:eastAsia="宋体" w:cs="宋体"/>
          <w:color w:val="auto"/>
          <w:sz w:val="28"/>
          <w:szCs w:val="28"/>
          <w:highlight w:val="none"/>
          <w:u w:val="none"/>
          <w:lang w:eastAsia="zh-CN"/>
        </w:rPr>
        <w:t>及地点：</w:t>
      </w:r>
    </w:p>
    <w:p>
      <w:pPr>
        <w:pStyle w:val="9"/>
        <w:keepNext w:val="0"/>
        <w:keepLines w:val="0"/>
        <w:pageBreakBefore w:val="0"/>
        <w:widowControl w:val="0"/>
        <w:kinsoku/>
        <w:wordWrap/>
        <w:overflowPunct/>
        <w:topLinePunct w:val="0"/>
        <w:autoSpaceDE/>
        <w:autoSpaceDN/>
        <w:bidi w:val="0"/>
        <w:adjustRightInd/>
        <w:spacing w:line="360" w:lineRule="auto"/>
        <w:ind w:leftChars="-16" w:firstLine="560" w:firstLineChars="200"/>
        <w:textAlignment w:val="auto"/>
        <w:rPr>
          <w:rFonts w:hint="eastAsia" w:ascii="宋体" w:hAnsi="宋体" w:eastAsia="宋体" w:cs="宋体"/>
          <w:color w:val="auto"/>
          <w:sz w:val="28"/>
          <w:szCs w:val="28"/>
          <w:highlight w:val="none"/>
          <w:u w:val="none"/>
          <w:lang w:eastAsia="zh-CN"/>
        </w:rPr>
      </w:pPr>
      <w:r>
        <w:rPr>
          <w:rFonts w:hint="default" w:ascii="Times New Roman" w:hAnsi="Times New Roman" w:cs="Times New Roman"/>
          <w:color w:val="auto"/>
          <w:sz w:val="28"/>
          <w:szCs w:val="28"/>
          <w:highlight w:val="none"/>
        </w:rPr>
        <w:t>履行期限</w:t>
      </w:r>
      <w:r>
        <w:rPr>
          <w:rFonts w:hint="eastAsia" w:ascii="宋体" w:hAnsi="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eastAsia="zh-CN"/>
        </w:rPr>
        <w:t>2年，合同期满后经业主方考核评分合格后可续签合同一年（附考核要求表）。</w:t>
      </w:r>
    </w:p>
    <w:p>
      <w:pPr>
        <w:pStyle w:val="9"/>
        <w:keepNext w:val="0"/>
        <w:keepLines w:val="0"/>
        <w:pageBreakBefore w:val="0"/>
        <w:widowControl w:val="0"/>
        <w:kinsoku/>
        <w:wordWrap/>
        <w:overflowPunct/>
        <w:topLinePunct w:val="0"/>
        <w:autoSpaceDE/>
        <w:autoSpaceDN/>
        <w:bidi w:val="0"/>
        <w:adjustRightInd/>
        <w:spacing w:line="360" w:lineRule="auto"/>
        <w:ind w:leftChars="-16"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地点：采购人指定地点。</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3</w:t>
      </w:r>
      <w:r>
        <w:rPr>
          <w:rStyle w:val="19"/>
          <w:rFonts w:hint="eastAsia" w:ascii="宋体" w:hAnsi="宋体" w:eastAsia="宋体" w:cs="宋体"/>
          <w:color w:val="auto"/>
          <w:sz w:val="28"/>
          <w:szCs w:val="28"/>
          <w:highlight w:val="none"/>
        </w:rPr>
        <w:t>、</w:t>
      </w:r>
      <w:r>
        <w:rPr>
          <w:rStyle w:val="19"/>
          <w:rFonts w:hint="eastAsia" w:ascii="宋体" w:hAnsi="宋体" w:eastAsia="宋体" w:cs="宋体"/>
          <w:color w:val="auto"/>
          <w:sz w:val="28"/>
          <w:szCs w:val="28"/>
          <w:highlight w:val="none"/>
          <w:lang w:eastAsia="zh-CN"/>
        </w:rPr>
        <w:t>采购人</w:t>
      </w:r>
      <w:r>
        <w:rPr>
          <w:rStyle w:val="19"/>
          <w:rFonts w:hint="eastAsia" w:ascii="宋体" w:hAnsi="宋体" w:eastAsia="宋体" w:cs="宋体"/>
          <w:color w:val="auto"/>
          <w:sz w:val="28"/>
          <w:szCs w:val="28"/>
          <w:highlight w:val="none"/>
        </w:rPr>
        <w:t>无正当理由不按时支付污水处理费的，每天按违约金额的1‰支付违约金。</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4</w:t>
      </w:r>
      <w:r>
        <w:rPr>
          <w:rStyle w:val="19"/>
          <w:rFonts w:hint="eastAsia" w:ascii="宋体" w:hAnsi="宋体" w:eastAsia="宋体" w:cs="宋体"/>
          <w:color w:val="auto"/>
          <w:sz w:val="28"/>
          <w:szCs w:val="28"/>
          <w:highlight w:val="none"/>
        </w:rPr>
        <w:t>、在合同有效期内，任何一方因不可抗力事件导致不能履行合同，应立即通知对方，并提供有关权威机构出具的证明；</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5</w:t>
      </w:r>
      <w:r>
        <w:rPr>
          <w:rStyle w:val="19"/>
          <w:rFonts w:hint="eastAsia" w:ascii="宋体" w:hAnsi="宋体" w:eastAsia="宋体" w:cs="宋体"/>
          <w:color w:val="auto"/>
          <w:sz w:val="28"/>
          <w:szCs w:val="28"/>
          <w:highlight w:val="none"/>
        </w:rPr>
        <w:t>、不可抗力事件发生后，双方应通过友好协商，确定是否继续履行合同以及弥补损失的办法；</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6</w:t>
      </w:r>
      <w:r>
        <w:rPr>
          <w:rStyle w:val="19"/>
          <w:rFonts w:hint="eastAsia" w:ascii="宋体" w:hAnsi="宋体" w:eastAsia="宋体" w:cs="宋体"/>
          <w:color w:val="auto"/>
          <w:sz w:val="28"/>
          <w:szCs w:val="28"/>
          <w:highlight w:val="none"/>
        </w:rPr>
        <w:t>、如因政府政策原因，造成合同需要进行变更，双方通过协商解决。</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7</w:t>
      </w:r>
      <w:r>
        <w:rPr>
          <w:rStyle w:val="19"/>
          <w:rFonts w:hint="eastAsia" w:ascii="宋体" w:hAnsi="宋体" w:eastAsia="宋体" w:cs="宋体"/>
          <w:color w:val="auto"/>
          <w:sz w:val="28"/>
          <w:szCs w:val="28"/>
          <w:highlight w:val="none"/>
        </w:rPr>
        <w:t>、污水处理费每季度支付一次，</w:t>
      </w:r>
      <w:r>
        <w:rPr>
          <w:rStyle w:val="19"/>
          <w:rFonts w:hint="eastAsia" w:ascii="宋体" w:hAnsi="宋体" w:eastAsia="宋体" w:cs="宋体"/>
          <w:color w:val="auto"/>
          <w:sz w:val="28"/>
          <w:szCs w:val="28"/>
          <w:highlight w:val="none"/>
          <w:lang w:val="en-US" w:eastAsia="zh-CN"/>
        </w:rPr>
        <w:t>按</w:t>
      </w:r>
      <w:r>
        <w:rPr>
          <w:rStyle w:val="19"/>
          <w:rFonts w:hint="eastAsia" w:ascii="宋体" w:hAnsi="宋体" w:eastAsia="宋体" w:cs="宋体"/>
          <w:color w:val="auto"/>
          <w:sz w:val="28"/>
          <w:szCs w:val="28"/>
          <w:highlight w:val="none"/>
        </w:rPr>
        <w:t>每季度</w:t>
      </w:r>
      <w:r>
        <w:rPr>
          <w:rStyle w:val="19"/>
          <w:rFonts w:hint="eastAsia" w:ascii="宋体" w:hAnsi="宋体" w:eastAsia="宋体" w:cs="宋体"/>
          <w:color w:val="auto"/>
          <w:sz w:val="28"/>
          <w:szCs w:val="28"/>
          <w:highlight w:val="none"/>
          <w:lang w:val="en-US" w:eastAsia="zh-CN"/>
        </w:rPr>
        <w:t>固定费用</w:t>
      </w:r>
      <w:r>
        <w:rPr>
          <w:rStyle w:val="19"/>
          <w:rFonts w:hint="eastAsia" w:ascii="宋体" w:hAnsi="宋体" w:eastAsia="宋体" w:cs="宋体"/>
          <w:color w:val="auto"/>
          <w:sz w:val="28"/>
          <w:szCs w:val="28"/>
          <w:highlight w:val="none"/>
        </w:rPr>
        <w:t>支付。</w:t>
      </w:r>
    </w:p>
    <w:p>
      <w:pPr>
        <w:pStyle w:val="21"/>
        <w:keepNext w:val="0"/>
        <w:keepLines w:val="0"/>
        <w:pageBreakBefore w:val="0"/>
        <w:kinsoku/>
        <w:wordWrap/>
        <w:overflowPunct/>
        <w:topLinePunct w:val="0"/>
        <w:autoSpaceDE/>
        <w:autoSpaceDN/>
        <w:bidi w:val="0"/>
        <w:adjustRightInd/>
        <w:spacing w:line="360" w:lineRule="auto"/>
        <w:ind w:firstLine="560" w:firstLineChars="200"/>
        <w:rPr>
          <w:rStyle w:val="19"/>
          <w:rFonts w:hint="eastAsia" w:ascii="宋体" w:hAnsi="宋体" w:eastAsia="宋体" w:cs="宋体"/>
          <w:color w:val="auto"/>
          <w:sz w:val="28"/>
          <w:szCs w:val="28"/>
          <w:highlight w:val="none"/>
        </w:rPr>
      </w:pPr>
      <w:r>
        <w:rPr>
          <w:rStyle w:val="19"/>
          <w:rFonts w:hint="eastAsia" w:ascii="宋体" w:hAnsi="宋体" w:cs="宋体"/>
          <w:color w:val="auto"/>
          <w:sz w:val="28"/>
          <w:szCs w:val="28"/>
          <w:highlight w:val="none"/>
          <w:lang w:val="en-US" w:eastAsia="zh-CN"/>
        </w:rPr>
        <w:t>8</w:t>
      </w:r>
      <w:r>
        <w:rPr>
          <w:rStyle w:val="19"/>
          <w:rFonts w:hint="eastAsia" w:ascii="宋体" w:hAnsi="宋体" w:eastAsia="宋体" w:cs="宋体"/>
          <w:color w:val="auto"/>
          <w:sz w:val="28"/>
          <w:szCs w:val="28"/>
          <w:highlight w:val="none"/>
        </w:rPr>
        <w:t>、污水处理费的支付：</w:t>
      </w:r>
      <w:r>
        <w:rPr>
          <w:rStyle w:val="19"/>
          <w:rFonts w:hint="eastAsia" w:ascii="宋体" w:hAnsi="宋体" w:eastAsia="宋体" w:cs="宋体"/>
          <w:color w:val="auto"/>
          <w:sz w:val="28"/>
          <w:szCs w:val="28"/>
          <w:highlight w:val="none"/>
          <w:lang w:val="en-US" w:eastAsia="zh-CN"/>
        </w:rPr>
        <w:t>采购人</w:t>
      </w:r>
      <w:r>
        <w:rPr>
          <w:rStyle w:val="19"/>
          <w:rFonts w:hint="eastAsia" w:ascii="宋体" w:hAnsi="宋体" w:eastAsia="宋体" w:cs="宋体"/>
          <w:color w:val="auto"/>
          <w:sz w:val="28"/>
          <w:szCs w:val="28"/>
          <w:highlight w:val="none"/>
        </w:rPr>
        <w:t>应在项目正常投入使用之日开始每季度初向</w:t>
      </w:r>
      <w:r>
        <w:rPr>
          <w:rStyle w:val="19"/>
          <w:rFonts w:hint="eastAsia" w:ascii="宋体" w:hAnsi="宋体" w:eastAsia="宋体" w:cs="宋体"/>
          <w:color w:val="auto"/>
          <w:sz w:val="28"/>
          <w:szCs w:val="28"/>
          <w:highlight w:val="none"/>
          <w:lang w:eastAsia="zh-CN"/>
        </w:rPr>
        <w:t>供应商</w:t>
      </w:r>
      <w:r>
        <w:rPr>
          <w:rStyle w:val="19"/>
          <w:rFonts w:hint="eastAsia" w:ascii="宋体" w:hAnsi="宋体" w:eastAsia="宋体" w:cs="宋体"/>
          <w:color w:val="auto"/>
          <w:sz w:val="28"/>
          <w:szCs w:val="28"/>
          <w:highlight w:val="none"/>
        </w:rPr>
        <w:t>支付上一季度污水处理费。双方签订上一季度的服务确认报告后，</w:t>
      </w:r>
      <w:r>
        <w:rPr>
          <w:rStyle w:val="19"/>
          <w:rFonts w:hint="eastAsia" w:ascii="宋体" w:hAnsi="宋体" w:eastAsia="宋体" w:cs="宋体"/>
          <w:color w:val="auto"/>
          <w:sz w:val="28"/>
          <w:szCs w:val="28"/>
          <w:highlight w:val="none"/>
          <w:lang w:eastAsia="zh-CN"/>
        </w:rPr>
        <w:t>供应商</w:t>
      </w:r>
      <w:r>
        <w:rPr>
          <w:rStyle w:val="19"/>
          <w:rFonts w:hint="eastAsia" w:ascii="宋体" w:hAnsi="宋体" w:eastAsia="宋体" w:cs="宋体"/>
          <w:color w:val="auto"/>
          <w:sz w:val="28"/>
          <w:szCs w:val="28"/>
          <w:highlight w:val="none"/>
        </w:rPr>
        <w:t>应向</w:t>
      </w:r>
      <w:r>
        <w:rPr>
          <w:rStyle w:val="19"/>
          <w:rFonts w:hint="eastAsia" w:ascii="宋体" w:hAnsi="宋体" w:eastAsia="宋体" w:cs="宋体"/>
          <w:color w:val="auto"/>
          <w:sz w:val="28"/>
          <w:szCs w:val="28"/>
          <w:highlight w:val="none"/>
          <w:lang w:eastAsia="zh-CN"/>
        </w:rPr>
        <w:t>采购人</w:t>
      </w:r>
      <w:r>
        <w:rPr>
          <w:rStyle w:val="19"/>
          <w:rFonts w:hint="eastAsia" w:ascii="宋体" w:hAnsi="宋体" w:eastAsia="宋体" w:cs="宋体"/>
          <w:color w:val="auto"/>
          <w:sz w:val="28"/>
          <w:szCs w:val="28"/>
          <w:highlight w:val="none"/>
        </w:rPr>
        <w:t>开具有效的发票，</w:t>
      </w:r>
      <w:r>
        <w:rPr>
          <w:rStyle w:val="19"/>
          <w:rFonts w:hint="eastAsia" w:ascii="宋体" w:hAnsi="宋体" w:eastAsia="宋体" w:cs="宋体"/>
          <w:color w:val="auto"/>
          <w:sz w:val="28"/>
          <w:szCs w:val="28"/>
          <w:highlight w:val="none"/>
          <w:lang w:eastAsia="zh-CN"/>
        </w:rPr>
        <w:t>采购人</w:t>
      </w:r>
      <w:r>
        <w:rPr>
          <w:rStyle w:val="19"/>
          <w:rFonts w:hint="eastAsia" w:ascii="宋体" w:hAnsi="宋体" w:eastAsia="宋体" w:cs="宋体"/>
          <w:color w:val="auto"/>
          <w:sz w:val="28"/>
          <w:szCs w:val="28"/>
          <w:highlight w:val="none"/>
        </w:rPr>
        <w:t>收到发票后15个工作日内支付。</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宋体"/>
          <w:color w:val="auto"/>
          <w:sz w:val="28"/>
          <w:szCs w:val="28"/>
          <w:highlight w:val="none"/>
          <w:lang w:val="en-US" w:eastAsia="zh-CN"/>
        </w:rPr>
      </w:pPr>
      <w:r>
        <w:rPr>
          <w:rStyle w:val="19"/>
          <w:rFonts w:hint="eastAsia" w:ascii="宋体" w:hAnsi="宋体" w:cs="宋体"/>
          <w:color w:val="auto"/>
          <w:sz w:val="28"/>
          <w:szCs w:val="28"/>
          <w:highlight w:val="none"/>
          <w:lang w:val="en-US" w:eastAsia="zh-CN"/>
        </w:rPr>
        <w:t>9</w:t>
      </w:r>
      <w:r>
        <w:rPr>
          <w:rStyle w:val="19"/>
          <w:rFonts w:hint="eastAsia" w:ascii="宋体" w:hAnsi="宋体" w:eastAsia="宋体" w:cs="宋体"/>
          <w:color w:val="auto"/>
          <w:sz w:val="28"/>
          <w:szCs w:val="28"/>
          <w:highlight w:val="none"/>
        </w:rPr>
        <w:t>、签订合同后</w:t>
      </w:r>
      <w:r>
        <w:rPr>
          <w:rStyle w:val="19"/>
          <w:rFonts w:hint="eastAsia" w:ascii="宋体" w:hAnsi="宋体" w:eastAsia="宋体" w:cs="宋体"/>
          <w:color w:val="auto"/>
          <w:sz w:val="28"/>
          <w:szCs w:val="28"/>
          <w:highlight w:val="none"/>
          <w:lang w:eastAsia="zh-CN"/>
        </w:rPr>
        <w:t>供应商</w:t>
      </w:r>
      <w:r>
        <w:rPr>
          <w:rStyle w:val="19"/>
          <w:rFonts w:hint="eastAsia" w:ascii="宋体" w:hAnsi="宋体" w:eastAsia="宋体" w:cs="宋体"/>
          <w:color w:val="auto"/>
          <w:sz w:val="28"/>
          <w:szCs w:val="28"/>
          <w:highlight w:val="none"/>
        </w:rPr>
        <w:t>必须在10日内与</w:t>
      </w:r>
      <w:r>
        <w:rPr>
          <w:rStyle w:val="19"/>
          <w:rFonts w:hint="eastAsia" w:ascii="宋体" w:hAnsi="宋体" w:eastAsia="宋体" w:cs="宋体"/>
          <w:color w:val="auto"/>
          <w:sz w:val="28"/>
          <w:szCs w:val="28"/>
          <w:highlight w:val="none"/>
          <w:lang w:eastAsia="zh-CN"/>
        </w:rPr>
        <w:t>采购人</w:t>
      </w:r>
      <w:r>
        <w:rPr>
          <w:rStyle w:val="19"/>
          <w:rFonts w:hint="eastAsia" w:ascii="宋体" w:hAnsi="宋体" w:eastAsia="宋体" w:cs="宋体"/>
          <w:color w:val="auto"/>
          <w:sz w:val="28"/>
          <w:szCs w:val="28"/>
          <w:highlight w:val="none"/>
        </w:rPr>
        <w:t>完成污水处理设备的交接，并开始正式负责相关工作。</w:t>
      </w:r>
    </w:p>
    <w:p>
      <w:pPr>
        <w:rPr>
          <w:rFonts w:hint="default"/>
          <w:color w:val="auto"/>
          <w:highlight w:val="none"/>
          <w:lang w:eastAsia="zh-CN"/>
        </w:rPr>
      </w:pPr>
      <w:r>
        <w:rPr>
          <w:rFonts w:hint="default"/>
          <w:color w:val="auto"/>
          <w:highlight w:val="none"/>
          <w:lang w:eastAsia="zh-CN"/>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color w:val="auto"/>
          <w:kern w:val="2"/>
          <w:sz w:val="36"/>
          <w:szCs w:val="24"/>
          <w:highlight w:val="none"/>
          <w:lang w:val="en-US" w:eastAsia="zh-CN" w:bidi="ar-SA"/>
        </w:rPr>
      </w:pPr>
      <w:r>
        <w:rPr>
          <w:rFonts w:hint="eastAsia" w:ascii="宋体" w:hAnsi="宋体" w:eastAsia="宋体" w:cs="宋体"/>
          <w:b w:val="0"/>
          <w:color w:val="auto"/>
          <w:kern w:val="2"/>
          <w:sz w:val="36"/>
          <w:szCs w:val="24"/>
          <w:highlight w:val="none"/>
          <w:lang w:val="en-US" w:eastAsia="zh-CN" w:bidi="ar-SA"/>
        </w:rPr>
        <w:t>检测清单</w:t>
      </w:r>
    </w:p>
    <w:p>
      <w:pPr>
        <w:pStyle w:val="3"/>
        <w:rPr>
          <w:rFonts w:hint="default"/>
          <w:highlight w:val="none"/>
          <w:lang w:val="en-US" w:eastAsia="zh-CN"/>
        </w:rPr>
      </w:pPr>
    </w:p>
    <w:p>
      <w:pPr>
        <w:rPr>
          <w:color w:val="auto"/>
          <w:highlight w:val="none"/>
        </w:rPr>
      </w:pPr>
    </w:p>
    <w:p>
      <w:pPr>
        <w:bidi w:val="0"/>
        <w:rPr>
          <w:color w:val="auto"/>
          <w:highlight w:val="none"/>
        </w:rPr>
      </w:pPr>
    </w:p>
    <w:tbl>
      <w:tblPr>
        <w:tblStyle w:val="1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3863"/>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11"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类型</w:t>
            </w: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项目(因子)</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011" w:type="dxa"/>
            <w:vMerge w:val="restart"/>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医疗污水站总排口</w:t>
            </w: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bidi="ar"/>
              </w:rPr>
              <w:t>PH</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bidi="ar"/>
              </w:rPr>
              <w:t>悬浮物</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bidi="ar"/>
              </w:rPr>
              <w:t>五日生化需氧量</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化学需氧量</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阴离子表面活性剂</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石油类</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动植物油</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挥发酚</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总氰化物</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bidi="ar"/>
              </w:rPr>
              <w:t>粪大肠菌群</w:t>
            </w:r>
          </w:p>
        </w:tc>
        <w:tc>
          <w:tcPr>
            <w:tcW w:w="2645"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沙门氏菌</w:t>
            </w:r>
          </w:p>
        </w:tc>
        <w:tc>
          <w:tcPr>
            <w:tcW w:w="2645" w:type="dxa"/>
            <w:shd w:val="clear" w:color="auto" w:fill="auto"/>
            <w:vAlign w:val="center"/>
          </w:tcPr>
          <w:p>
            <w:pPr>
              <w:spacing w:line="240" w:lineRule="auto"/>
              <w:ind w:firstLine="0" w:firstLineChars="0"/>
              <w:jc w:val="center"/>
              <w:textAlignment w:val="center"/>
              <w:rPr>
                <w:rFonts w:hint="eastAsia"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2011" w:type="dxa"/>
            <w:vMerge w:val="continue"/>
            <w:shd w:val="clear" w:color="auto" w:fill="auto"/>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3863" w:type="dxa"/>
            <w:shd w:val="clear" w:color="auto" w:fill="auto"/>
            <w:vAlign w:val="center"/>
          </w:tcPr>
          <w:p>
            <w:pPr>
              <w:spacing w:line="240" w:lineRule="auto"/>
              <w:ind w:firstLine="0" w:firstLineChars="0"/>
              <w:jc w:val="center"/>
              <w:textAlignment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志贺氏菌</w:t>
            </w:r>
          </w:p>
        </w:tc>
        <w:tc>
          <w:tcPr>
            <w:tcW w:w="2645" w:type="dxa"/>
            <w:shd w:val="clear" w:color="auto" w:fill="auto"/>
            <w:vAlign w:val="center"/>
          </w:tcPr>
          <w:p>
            <w:pPr>
              <w:spacing w:line="240" w:lineRule="auto"/>
              <w:ind w:firstLine="0" w:firstLineChars="0"/>
              <w:jc w:val="center"/>
              <w:textAlignment w:val="center"/>
              <w:rPr>
                <w:rFonts w:hint="default"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1次/半年</w:t>
            </w:r>
          </w:p>
        </w:tc>
      </w:tr>
    </w:tbl>
    <w:p>
      <w:pPr>
        <w:rPr>
          <w:color w:val="auto"/>
          <w:highlight w:val="none"/>
        </w:rPr>
      </w:pPr>
    </w:p>
    <w:p>
      <w:pPr>
        <w:pStyle w:val="2"/>
        <w:rPr>
          <w:color w:val="auto"/>
          <w:highlight w:val="none"/>
        </w:rPr>
      </w:pPr>
    </w:p>
    <w:p>
      <w:pPr>
        <w:rPr>
          <w:highlight w:val="none"/>
        </w:rPr>
      </w:pPr>
    </w:p>
    <w:tbl>
      <w:tblPr>
        <w:tblStyle w:val="1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792"/>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25"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类型</w:t>
            </w: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项目(因子)</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125" w:type="dxa"/>
            <w:vMerge w:val="restart"/>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医疗污水站周边</w:t>
            </w: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甲烷</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125" w:type="dxa"/>
            <w:vMerge w:val="continue"/>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臭气浓度</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125" w:type="dxa"/>
            <w:vMerge w:val="continue"/>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氨氨（氨气）</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125" w:type="dxa"/>
            <w:vMerge w:val="continue"/>
            <w:shd w:val="clear" w:color="auto" w:fill="auto"/>
            <w:vAlign w:val="center"/>
          </w:tcPr>
          <w:p>
            <w:pPr>
              <w:ind w:firstLine="0" w:firstLineChars="0"/>
              <w:jc w:val="center"/>
              <w:rPr>
                <w:rFonts w:hint="default" w:ascii="Times New Roman" w:hAnsi="Times New Roman" w:cs="Times New Roman"/>
                <w:color w:val="000000"/>
                <w:sz w:val="21"/>
                <w:szCs w:val="21"/>
                <w:highlight w:val="none"/>
              </w:rPr>
            </w:pP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氯</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125" w:type="dxa"/>
            <w:vMerge w:val="continue"/>
            <w:shd w:val="clear" w:color="auto" w:fill="auto"/>
            <w:vAlign w:val="center"/>
          </w:tcPr>
          <w:p>
            <w:pPr>
              <w:ind w:firstLine="0" w:firstLineChars="0"/>
              <w:jc w:val="center"/>
              <w:rPr>
                <w:rFonts w:hint="default" w:ascii="Times New Roman" w:hAnsi="Times New Roman" w:cs="Times New Roman"/>
                <w:color w:val="000000"/>
                <w:sz w:val="21"/>
                <w:szCs w:val="21"/>
                <w:highlight w:val="none"/>
              </w:rPr>
            </w:pPr>
          </w:p>
        </w:tc>
        <w:tc>
          <w:tcPr>
            <w:tcW w:w="3792" w:type="dxa"/>
            <w:shd w:val="clear" w:color="auto" w:fill="auto"/>
            <w:vAlign w:val="center"/>
          </w:tcPr>
          <w:p>
            <w:pPr>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硫化氢</w:t>
            </w:r>
          </w:p>
        </w:tc>
        <w:tc>
          <w:tcPr>
            <w:tcW w:w="2602" w:type="dxa"/>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1次/季</w:t>
            </w:r>
          </w:p>
        </w:tc>
      </w:tr>
    </w:tbl>
    <w:p>
      <w:pPr>
        <w:pStyle w:val="2"/>
        <w:rPr>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color w:val="auto"/>
          <w:kern w:val="2"/>
          <w:sz w:val="36"/>
          <w:szCs w:val="24"/>
          <w:highlight w:val="none"/>
          <w:lang w:val="en-US" w:eastAsia="zh-CN" w:bidi="ar-SA"/>
        </w:rPr>
      </w:pPr>
      <w:r>
        <w:rPr>
          <w:rFonts w:hint="eastAsia" w:ascii="宋体" w:hAnsi="宋体" w:eastAsia="宋体" w:cs="宋体"/>
          <w:b w:val="0"/>
          <w:color w:val="auto"/>
          <w:kern w:val="2"/>
          <w:sz w:val="36"/>
          <w:szCs w:val="24"/>
          <w:highlight w:val="none"/>
          <w:lang w:val="en-US" w:eastAsia="zh-CN" w:bidi="ar-SA"/>
        </w:rPr>
        <w:t>考核要求表</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color w:val="auto"/>
          <w:kern w:val="2"/>
          <w:sz w:val="36"/>
          <w:szCs w:val="24"/>
          <w:highlight w:val="none"/>
          <w:lang w:val="en-US" w:eastAsia="zh-CN" w:bidi="ar-SA"/>
        </w:rPr>
      </w:pPr>
    </w:p>
    <w:p>
      <w:pPr>
        <w:widowControl w:val="0"/>
        <w:spacing w:before="134" w:after="134"/>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考核日期：           年       月       日</w:t>
      </w:r>
    </w:p>
    <w:tbl>
      <w:tblPr>
        <w:tblStyle w:val="18"/>
        <w:tblW w:w="908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6"/>
        <w:gridCol w:w="830"/>
        <w:gridCol w:w="822"/>
        <w:gridCol w:w="4597"/>
        <w:gridCol w:w="498"/>
        <w:gridCol w:w="523"/>
        <w:gridCol w:w="13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8"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序</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8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考核</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考评分</w:t>
            </w: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考核</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基础</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管理</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制度</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企业各项规章制度健全并正式印发</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查阅企业</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章程、岗位</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职责等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3"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管理</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关键岗位人员持证上</w:t>
            </w:r>
            <w:r>
              <w:rPr>
                <w:rFonts w:hint="eastAsia" w:ascii="宋体" w:hAnsi="宋体" w:eastAsia="宋体" w:cs="宋体"/>
                <w:color w:val="auto"/>
                <w:sz w:val="24"/>
                <w:szCs w:val="24"/>
                <w:highlight w:val="none"/>
                <w:lang w:val="en-US" w:eastAsia="zh-CN"/>
              </w:rPr>
              <w:t>岗</w:t>
            </w:r>
            <w:r>
              <w:rPr>
                <w:rFonts w:hint="eastAsia" w:ascii="宋体" w:hAnsi="宋体" w:eastAsia="宋体" w:cs="宋体"/>
                <w:color w:val="auto"/>
                <w:sz w:val="24"/>
                <w:szCs w:val="24"/>
                <w:highlight w:val="none"/>
              </w:rPr>
              <w:t>率达到100%</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依照有关</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统计数据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7"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操作</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规程</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各建筑物地面清洁。没有积物。每发现一处扣1分扣</w:t>
            </w:r>
            <w:r>
              <w:rPr>
                <w:rFonts w:hint="eastAsia" w:ascii="宋体" w:hAnsi="宋体" w:eastAsia="宋体" w:cs="宋体"/>
                <w:color w:val="auto"/>
                <w:sz w:val="24"/>
                <w:szCs w:val="24"/>
                <w:highlight w:val="none"/>
                <w:lang w:val="en-US" w:eastAsia="zh-CN"/>
              </w:rPr>
              <w:t>完</w:t>
            </w:r>
            <w:r>
              <w:rPr>
                <w:rFonts w:hint="eastAsia" w:ascii="宋体" w:hAnsi="宋体" w:eastAsia="宋体" w:cs="宋体"/>
                <w:color w:val="auto"/>
                <w:sz w:val="24"/>
                <w:szCs w:val="24"/>
                <w:highlight w:val="none"/>
              </w:rPr>
              <w:t>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运行操作规程、岗位职责齐全并上墙，操作人员熟悉掌握并执行到位，每少一项扣1分扣完为止。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运行</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管理</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运行</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记录</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生产调度指令明确，运行记录真实，按时填写、字迹清晰，各类设备运行</w:t>
            </w:r>
            <w:r>
              <w:rPr>
                <w:rFonts w:hint="eastAsia" w:ascii="宋体" w:hAnsi="宋体" w:eastAsia="宋体" w:cs="宋体"/>
                <w:color w:val="auto"/>
                <w:sz w:val="24"/>
                <w:szCs w:val="24"/>
                <w:highlight w:val="none"/>
                <w:lang w:eastAsia="zh-CN"/>
              </w:rPr>
              <w:t>状态</w:t>
            </w:r>
            <w:r>
              <w:rPr>
                <w:rFonts w:hint="eastAsia" w:ascii="宋体" w:hAnsi="宋体" w:eastAsia="宋体" w:cs="宋体"/>
                <w:color w:val="auto"/>
                <w:sz w:val="24"/>
                <w:szCs w:val="24"/>
                <w:highlight w:val="none"/>
              </w:rPr>
              <w:t>记录完整准确。</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49"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运行</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调控</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工艺调控有详细的方案，季度运行报告详实，提出问题准确，改进措施切实可行。</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节能</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降耗</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能耗控制有文件指标</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7"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自动</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设有中控室，对运行数据进行统计分析。没有一年累计运</w:t>
            </w:r>
            <w:r>
              <w:rPr>
                <w:rFonts w:hint="eastAsia" w:ascii="宋体" w:hAnsi="宋体" w:eastAsia="宋体" w:cs="宋体"/>
                <w:color w:val="auto"/>
                <w:sz w:val="24"/>
                <w:szCs w:val="24"/>
                <w:highlight w:val="none"/>
                <w:lang w:eastAsia="zh-CN"/>
              </w:rPr>
              <w:t>行资</w:t>
            </w:r>
            <w:r>
              <w:rPr>
                <w:rFonts w:hint="eastAsia" w:ascii="宋体" w:hAnsi="宋体" w:eastAsia="宋体" w:cs="宋体"/>
                <w:color w:val="auto"/>
                <w:sz w:val="24"/>
                <w:szCs w:val="24"/>
                <w:highlight w:val="none"/>
              </w:rPr>
              <w:t>料扣2分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没有水质、水量运行曲线各扣1分，没有设备运行资料扣1分。</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3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设施</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设备</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构筑</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设有建筑物位置建筑物无渗漏，表面无</w:t>
            </w:r>
            <w:r>
              <w:rPr>
                <w:rFonts w:hint="eastAsia" w:ascii="宋体" w:hAnsi="宋体" w:eastAsia="宋体" w:cs="宋体"/>
                <w:color w:val="auto"/>
                <w:sz w:val="24"/>
                <w:szCs w:val="24"/>
                <w:highlight w:val="none"/>
                <w:lang w:val="en-US" w:eastAsia="zh-CN"/>
              </w:rPr>
              <w:t>鼓起</w:t>
            </w:r>
            <w:r>
              <w:rPr>
                <w:rFonts w:hint="eastAsia" w:ascii="宋体" w:hAnsi="宋体" w:eastAsia="宋体" w:cs="宋体"/>
                <w:color w:val="auto"/>
                <w:sz w:val="24"/>
                <w:szCs w:val="24"/>
                <w:highlight w:val="none"/>
              </w:rPr>
              <w:t>和脱落现象，油漆良好无锈蚀</w:t>
            </w:r>
            <w:r>
              <w:rPr>
                <w:rFonts w:hint="eastAsia" w:ascii="宋体" w:hAnsi="宋体" w:eastAsia="宋体" w:cs="宋体"/>
                <w:color w:val="auto"/>
                <w:sz w:val="24"/>
                <w:szCs w:val="24"/>
                <w:highlight w:val="none"/>
                <w:lang w:val="en-US" w:eastAsia="zh-CN"/>
              </w:rPr>
              <w:t>堰口</w:t>
            </w:r>
            <w:r>
              <w:rPr>
                <w:rFonts w:hint="eastAsia" w:ascii="宋体" w:hAnsi="宋体" w:eastAsia="宋体" w:cs="宋体"/>
                <w:color w:val="auto"/>
                <w:sz w:val="24"/>
                <w:szCs w:val="24"/>
                <w:highlight w:val="none"/>
              </w:rPr>
              <w:t>出水均匀，地面清洁，每处不符合扣2分，扣完</w:t>
            </w:r>
            <w:r>
              <w:rPr>
                <w:rFonts w:hint="eastAsia" w:ascii="宋体" w:hAnsi="宋体" w:eastAsia="宋体" w:cs="宋体"/>
                <w:color w:val="auto"/>
                <w:sz w:val="24"/>
                <w:szCs w:val="24"/>
                <w:highlight w:val="none"/>
                <w:lang w:val="en-US" w:eastAsia="zh-CN"/>
              </w:rPr>
              <w:t>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5"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设备要求外观整洁，</w:t>
            </w:r>
            <w:r>
              <w:rPr>
                <w:rFonts w:hint="eastAsia" w:ascii="宋体" w:hAnsi="宋体" w:eastAsia="宋体" w:cs="宋体"/>
                <w:color w:val="auto"/>
                <w:sz w:val="24"/>
                <w:szCs w:val="24"/>
                <w:highlight w:val="none"/>
                <w:lang w:val="en-US" w:eastAsia="zh-CN"/>
              </w:rPr>
              <w:t>螺栓齐全牢固，</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en-US" w:eastAsia="zh-CN"/>
              </w:rPr>
              <w:t>腐蚀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渗漏</w:t>
            </w:r>
            <w:r>
              <w:rPr>
                <w:rFonts w:hint="eastAsia" w:ascii="宋体" w:hAnsi="宋体" w:eastAsia="宋体" w:cs="宋体"/>
                <w:color w:val="auto"/>
                <w:sz w:val="24"/>
                <w:szCs w:val="24"/>
                <w:highlight w:val="none"/>
              </w:rPr>
              <w:t>，润滑充分，电器设备符合安全等相关要求。附属设备工作正常，整机运行</w:t>
            </w:r>
            <w:r>
              <w:rPr>
                <w:rFonts w:hint="eastAsia" w:ascii="宋体" w:hAnsi="宋体" w:eastAsia="宋体" w:cs="宋体"/>
                <w:color w:val="auto"/>
                <w:sz w:val="24"/>
                <w:szCs w:val="24"/>
                <w:highlight w:val="none"/>
                <w:lang w:val="en-US" w:eastAsia="zh-CN"/>
              </w:rPr>
              <w:t>平稳可靠</w:t>
            </w:r>
            <w:r>
              <w:rPr>
                <w:rFonts w:hint="eastAsia" w:ascii="宋体" w:hAnsi="宋体" w:eastAsia="宋体" w:cs="宋体"/>
                <w:color w:val="auto"/>
                <w:sz w:val="24"/>
                <w:szCs w:val="24"/>
                <w:highlight w:val="none"/>
              </w:rPr>
              <w:t>，仪器仪表准确</w:t>
            </w:r>
            <w:r>
              <w:rPr>
                <w:rFonts w:hint="eastAsia" w:ascii="宋体" w:hAnsi="宋体" w:eastAsia="宋体" w:cs="宋体"/>
                <w:color w:val="auto"/>
                <w:sz w:val="24"/>
                <w:szCs w:val="24"/>
                <w:highlight w:val="none"/>
                <w:lang w:eastAsia="zh-CN"/>
              </w:rPr>
              <w:t>灵敏</w:t>
            </w:r>
            <w:r>
              <w:rPr>
                <w:rFonts w:hint="eastAsia" w:ascii="宋体" w:hAnsi="宋体" w:eastAsia="宋体" w:cs="宋体"/>
                <w:color w:val="auto"/>
                <w:sz w:val="24"/>
                <w:szCs w:val="24"/>
                <w:highlight w:val="none"/>
              </w:rPr>
              <w:t>，设备台账及维护，检修记录齐全。设备检测报告、记录齐全。每发现一处问题扣1分。</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2"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管道</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污水、污泥检查</w:t>
            </w:r>
            <w:r>
              <w:rPr>
                <w:rFonts w:hint="eastAsia" w:ascii="宋体" w:hAnsi="宋体" w:eastAsia="宋体" w:cs="宋体"/>
                <w:color w:val="auto"/>
                <w:sz w:val="24"/>
                <w:szCs w:val="24"/>
                <w:highlight w:val="none"/>
                <w:lang w:val="en-US" w:eastAsia="zh-CN"/>
              </w:rPr>
              <w:t>井</w:t>
            </w:r>
            <w:r>
              <w:rPr>
                <w:rFonts w:hint="eastAsia" w:ascii="宋体" w:hAnsi="宋体" w:eastAsia="宋体" w:cs="宋体"/>
                <w:color w:val="auto"/>
                <w:sz w:val="24"/>
                <w:szCs w:val="24"/>
                <w:highlight w:val="none"/>
              </w:rPr>
              <w:t>、管道污物</w:t>
            </w:r>
            <w:r>
              <w:rPr>
                <w:rFonts w:hint="eastAsia" w:ascii="宋体" w:hAnsi="宋体" w:eastAsia="宋体" w:cs="宋体"/>
                <w:color w:val="auto"/>
                <w:sz w:val="24"/>
                <w:szCs w:val="24"/>
                <w:highlight w:val="none"/>
                <w:lang w:val="en-US" w:eastAsia="zh-CN"/>
              </w:rPr>
              <w:t>淤积</w:t>
            </w:r>
            <w:r>
              <w:rPr>
                <w:rFonts w:hint="eastAsia" w:ascii="宋体" w:hAnsi="宋体" w:eastAsia="宋体" w:cs="宋体"/>
                <w:color w:val="auto"/>
                <w:sz w:val="24"/>
                <w:szCs w:val="24"/>
                <w:highlight w:val="none"/>
              </w:rPr>
              <w:t>，影响工艺运行和排污能力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每发现一处扣2分。</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83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安全生产器具配备齐全并定期检验，有专人管理；安全警示牌悬挂醒目，有毒有害场所配备必要的安全防护仪器，危险品、易燃、易爆品按规定管理。发现一处缺项扣1分，扣完为止。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对安全责任人和职工定期进行安全生产教育，并有学习记录。</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预案</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编制有应急预案，并定期演练，少一次扣1分，扣完为止。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3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水质</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水量</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水量</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进、出水口设在线计量装置，并经过检定，按照设计处理水量为基准，运行负荷率达到国家有关要求得满分，每降5个百分点扣2分，扣完为止。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水质</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达标</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排放达到国家标准，检测结果符合《中华人民共和国国家标准医疗机构水污染排放标准》&lt;GB 18466-2005&gt;要求。不符合每次扣2分，扣完为止。</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设施环境维护</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标示</w:t>
            </w: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污水处理站整洁干净，卫生清洁。</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8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w:t>
            </w:r>
          </w:p>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（18分）</w:t>
            </w:r>
          </w:p>
        </w:tc>
        <w:tc>
          <w:tcPr>
            <w:tcW w:w="82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lang w:val="en-US" w:eastAsia="zh-CN"/>
              </w:rPr>
            </w:pPr>
          </w:p>
        </w:tc>
        <w:tc>
          <w:tcPr>
            <w:tcW w:w="45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运维单位在本季度运维服务中信誉良好，无违规、违约记录，无其他不良记录。与医院合作良好，与本院无合同纠纷或其他可能续签合同的矛盾。</w:t>
            </w:r>
          </w:p>
        </w:tc>
        <w:tc>
          <w:tcPr>
            <w:tcW w:w="49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18分</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7203"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考核分合计</w:t>
            </w:r>
          </w:p>
        </w:tc>
        <w:tc>
          <w:tcPr>
            <w:tcW w:w="5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c>
          <w:tcPr>
            <w:tcW w:w="13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highlight w:val="none"/>
              </w:rPr>
            </w:pPr>
          </w:p>
        </w:tc>
      </w:tr>
    </w:tbl>
    <w:p>
      <w:pPr>
        <w:rPr>
          <w:rFonts w:hint="eastAsia" w:ascii="方正小标宋简体" w:hAnsi="方正小标宋简体" w:eastAsia="方正小标宋简体" w:cs="方正小标宋简体"/>
          <w:b/>
          <w:bCs/>
          <w:color w:val="auto"/>
          <w:sz w:val="28"/>
          <w:szCs w:val="28"/>
          <w:highlight w:val="none"/>
          <w:lang w:val="en-US" w:eastAsia="zh-CN"/>
        </w:rPr>
      </w:pPr>
    </w:p>
    <w:p>
      <w:p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考核人：</w:t>
      </w:r>
    </w:p>
    <w:p>
      <w:pPr>
        <w:pStyle w:val="15"/>
        <w:spacing w:line="5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w:t>
      </w:r>
    </w:p>
    <w:p>
      <w:pPr>
        <w:pStyle w:val="15"/>
        <w:spacing w:line="5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1.后勤部每月对运维公司进行考核，满分为100分，9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分以上(含95分）为合格；9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分以下为不合格。</w:t>
      </w:r>
    </w:p>
    <w:p>
      <w:pPr>
        <w:pStyle w:val="15"/>
        <w:numPr>
          <w:ilvl w:val="0"/>
          <w:numId w:val="0"/>
        </w:numPr>
        <w:spacing w:line="500" w:lineRule="exact"/>
        <w:ind w:firstLine="544"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pacing w:val="-4"/>
          <w:kern w:val="2"/>
          <w:sz w:val="28"/>
          <w:szCs w:val="28"/>
          <w:highlight w:val="none"/>
          <w:lang w:val="en-US" w:eastAsia="zh-CN" w:bidi="ar-SA"/>
        </w:rPr>
        <w:t>2.</w:t>
      </w:r>
      <w:r>
        <w:rPr>
          <w:rFonts w:hint="eastAsia" w:ascii="宋体" w:hAnsi="宋体" w:eastAsia="宋体" w:cs="宋体"/>
          <w:b w:val="0"/>
          <w:bCs w:val="0"/>
          <w:color w:val="auto"/>
          <w:sz w:val="28"/>
          <w:szCs w:val="28"/>
          <w:highlight w:val="none"/>
          <w:lang w:val="en-US" w:eastAsia="zh-CN"/>
        </w:rPr>
        <w:t>出现不合格时，由相应公司进行整改方案，提交整改方案后7个工作日内整改完毕。</w:t>
      </w:r>
    </w:p>
    <w:p>
      <w:pPr>
        <w:pStyle w:val="15"/>
        <w:spacing w:line="5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3.季度考核:</w:t>
      </w:r>
      <w:r>
        <w:rPr>
          <w:rFonts w:hint="eastAsia" w:ascii="宋体" w:hAnsi="宋体" w:eastAsia="宋体" w:cs="宋体"/>
          <w:b w:val="0"/>
          <w:bCs w:val="0"/>
          <w:color w:val="auto"/>
          <w:sz w:val="28"/>
          <w:szCs w:val="28"/>
          <w:highlight w:val="none"/>
        </w:rPr>
        <w:t>基于三个月的月度考核平均分进行综合评估</w:t>
      </w:r>
      <w:r>
        <w:rPr>
          <w:rFonts w:hint="eastAsia" w:ascii="宋体" w:hAnsi="宋体" w:eastAsia="宋体" w:cs="宋体"/>
          <w:b w:val="0"/>
          <w:bCs w:val="0"/>
          <w:color w:val="auto"/>
          <w:sz w:val="28"/>
          <w:szCs w:val="28"/>
          <w:highlight w:val="none"/>
          <w:lang w:val="en-US" w:eastAsia="zh-CN"/>
        </w:rPr>
        <w:t>,平均分9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分以上(含9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分）为合格；9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分以下为不合格。</w:t>
      </w:r>
    </w:p>
    <w:p>
      <w:pPr>
        <w:pStyle w:val="15"/>
        <w:spacing w:line="5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4.年度考核:</w:t>
      </w:r>
      <w:r>
        <w:rPr>
          <w:rFonts w:hint="eastAsia" w:ascii="宋体" w:hAnsi="宋体" w:eastAsia="宋体" w:cs="宋体"/>
          <w:b w:val="0"/>
          <w:bCs w:val="0"/>
          <w:color w:val="auto"/>
          <w:sz w:val="28"/>
          <w:szCs w:val="28"/>
          <w:highlight w:val="none"/>
        </w:rPr>
        <w:t>基于</w:t>
      </w:r>
      <w:r>
        <w:rPr>
          <w:rFonts w:hint="eastAsia" w:ascii="宋体" w:hAnsi="宋体" w:eastAsia="宋体" w:cs="宋体"/>
          <w:b w:val="0"/>
          <w:bCs w:val="0"/>
          <w:color w:val="auto"/>
          <w:sz w:val="28"/>
          <w:szCs w:val="28"/>
          <w:highlight w:val="none"/>
          <w:lang w:val="en-US" w:eastAsia="zh-CN"/>
        </w:rPr>
        <w:t>十二</w:t>
      </w:r>
      <w:r>
        <w:rPr>
          <w:rFonts w:hint="eastAsia" w:ascii="宋体" w:hAnsi="宋体" w:eastAsia="宋体" w:cs="宋体"/>
          <w:b w:val="0"/>
          <w:bCs w:val="0"/>
          <w:color w:val="auto"/>
          <w:sz w:val="28"/>
          <w:szCs w:val="28"/>
          <w:highlight w:val="none"/>
        </w:rPr>
        <w:t>个月的月度考核平均分进行综合评估</w:t>
      </w:r>
      <w:r>
        <w:rPr>
          <w:rFonts w:hint="eastAsia" w:ascii="宋体" w:hAnsi="宋体" w:eastAsia="宋体" w:cs="宋体"/>
          <w:b w:val="0"/>
          <w:bCs w:val="0"/>
          <w:color w:val="auto"/>
          <w:sz w:val="28"/>
          <w:szCs w:val="28"/>
          <w:highlight w:val="none"/>
          <w:lang w:val="en-US" w:eastAsia="zh-CN"/>
        </w:rPr>
        <w:t>,平均分9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分以上(含9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分）为合格；9</w:t>
      </w:r>
      <w:r>
        <w:rPr>
          <w:rFonts w:hint="eastAsia"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分以下为不合格。</w:t>
      </w:r>
    </w:p>
    <w:p>
      <w:pPr/>
      <w:r>
        <w:br w:type="page"/>
      </w:r>
    </w:p>
    <w:p>
      <w:pPr>
        <w:rPr>
          <w:rFonts w:hint="default"/>
          <w:color w:val="auto"/>
          <w:highlight w:val="none"/>
          <w:lang w:eastAsia="zh-CN"/>
        </w:rPr>
      </w:pPr>
    </w:p>
    <w:bookmarkEnd w:id="2"/>
    <w:p>
      <w:pPr>
        <w:pageBreakBefore w:val="0"/>
        <w:widowControl/>
        <w:kinsoku/>
        <w:wordWrap/>
        <w:overflowPunct/>
        <w:topLinePunct w:val="0"/>
        <w:autoSpaceDE/>
        <w:autoSpaceDN/>
        <w:bidi w:val="0"/>
        <w:spacing w:line="360" w:lineRule="auto"/>
        <w:jc w:val="center"/>
        <w:outlineLvl w:val="0"/>
        <w:rPr>
          <w:rFonts w:hint="default" w:ascii="Times New Roman" w:hAnsi="Times New Roman" w:eastAsia="宋体" w:cs="Times New Roman"/>
          <w:b/>
          <w:bCs/>
          <w:color w:val="auto"/>
          <w:sz w:val="32"/>
          <w:szCs w:val="32"/>
          <w:highlight w:val="none"/>
        </w:rPr>
      </w:pPr>
      <w:bookmarkStart w:id="13" w:name="_Toc8874"/>
      <w:r>
        <w:rPr>
          <w:rFonts w:hint="default" w:ascii="Times New Roman" w:hAnsi="Times New Roman" w:eastAsia="宋体" w:cs="Times New Roman"/>
          <w:b/>
          <w:color w:val="auto"/>
          <w:sz w:val="32"/>
          <w:szCs w:val="32"/>
          <w:highlight w:val="none"/>
        </w:rPr>
        <w:t>评分办法</w:t>
      </w:r>
      <w:bookmarkEnd w:id="13"/>
    </w:p>
    <w:p>
      <w:pPr>
        <w:pageBreakBefore w:val="0"/>
        <w:widowControl/>
        <w:kinsoku/>
        <w:wordWrap/>
        <w:overflowPunct/>
        <w:topLinePunct w:val="0"/>
        <w:autoSpaceDE/>
        <w:autoSpaceDN/>
        <w:bidi w:val="0"/>
        <w:spacing w:line="360" w:lineRule="auto"/>
        <w:jc w:val="both"/>
        <w:outlineLvl w:val="9"/>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t>综合评分法</w:t>
      </w:r>
    </w:p>
    <w:p>
      <w:pPr>
        <w:pStyle w:val="12"/>
        <w:spacing w:line="360" w:lineRule="auto"/>
        <w:ind w:firstLine="420"/>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t>注：1、计分方法按四舍五入取至百分位。</w:t>
      </w:r>
    </w:p>
    <w:p>
      <w:pPr>
        <w:pStyle w:val="12"/>
        <w:spacing w:line="360" w:lineRule="auto"/>
        <w:ind w:firstLine="960" w:firstLineChars="400"/>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t>2、商务技术评审因素为客观评分项的，应在评分项目或评分标准中予以标注为‘客观分’。对投标人的客观评分项目，各评标专家评分应当一致。</w:t>
      </w:r>
    </w:p>
    <w:tbl>
      <w:tblPr>
        <w:tblStyle w:val="1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891"/>
        <w:gridCol w:w="1205"/>
        <w:gridCol w:w="462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6" w:type="dxa"/>
            <w:gridSpan w:val="2"/>
            <w:vAlign w:val="center"/>
          </w:tcPr>
          <w:p>
            <w:pPr>
              <w:adjustRightInd w:val="0"/>
              <w:spacing w:line="41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1205" w:type="dxa"/>
            <w:vAlign w:val="center"/>
          </w:tcPr>
          <w:p>
            <w:pPr>
              <w:adjustRightInd w:val="0"/>
              <w:spacing w:line="41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评分因素</w:t>
            </w:r>
          </w:p>
        </w:tc>
        <w:tc>
          <w:tcPr>
            <w:tcW w:w="4622" w:type="dxa"/>
            <w:vAlign w:val="center"/>
          </w:tcPr>
          <w:p>
            <w:pPr>
              <w:adjustRightInd w:val="0"/>
              <w:spacing w:line="41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评分标准</w:t>
            </w:r>
          </w:p>
        </w:tc>
        <w:tc>
          <w:tcPr>
            <w:tcW w:w="1406" w:type="dxa"/>
            <w:vAlign w:val="center"/>
          </w:tcPr>
          <w:p>
            <w:pPr>
              <w:adjustRightInd w:val="0"/>
              <w:spacing w:line="41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5" w:type="dxa"/>
            <w:vAlign w:val="center"/>
          </w:tcPr>
          <w:p>
            <w:pPr>
              <w:adjustRightInd w:val="0"/>
              <w:spacing w:line="36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p>
        </w:tc>
        <w:tc>
          <w:tcPr>
            <w:tcW w:w="891" w:type="dxa"/>
            <w:vAlign w:val="center"/>
          </w:tcPr>
          <w:p>
            <w:pPr>
              <w:adjustRightInd w:val="0"/>
              <w:spacing w:line="360" w:lineRule="exac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价格分（</w:t>
            </w:r>
            <w:r>
              <w:rPr>
                <w:rFonts w:hint="eastAsia" w:cs="Times New Roman"/>
                <w:b/>
                <w:color w:val="auto"/>
                <w:sz w:val="21"/>
                <w:szCs w:val="21"/>
                <w:highlight w:val="none"/>
                <w:lang w:val="en-US" w:eastAsia="zh-CN"/>
              </w:rPr>
              <w:t>10</w:t>
            </w:r>
            <w:r>
              <w:rPr>
                <w:rFonts w:hint="default" w:ascii="Times New Roman" w:hAnsi="Times New Roman" w:cs="Times New Roman"/>
                <w:b/>
                <w:color w:val="auto"/>
                <w:sz w:val="21"/>
                <w:szCs w:val="21"/>
                <w:highlight w:val="none"/>
              </w:rPr>
              <w:t>分）</w:t>
            </w:r>
          </w:p>
        </w:tc>
        <w:tc>
          <w:tcPr>
            <w:tcW w:w="1205" w:type="dxa"/>
            <w:vAlign w:val="center"/>
          </w:tcPr>
          <w:p>
            <w:pPr>
              <w:adjustRightInd w:val="0"/>
              <w:spacing w:line="360" w:lineRule="exact"/>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（满分</w:t>
            </w:r>
            <w:r>
              <w:rPr>
                <w:rFonts w:hint="eastAsia"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分）</w:t>
            </w:r>
          </w:p>
        </w:tc>
        <w:tc>
          <w:tcPr>
            <w:tcW w:w="462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（1）评标报价为投标人的投标报价进行政策性扣除后的价格，评标报价只是作为评标时使用。最终中标人的中标金额等于投标报价。</w:t>
            </w:r>
          </w:p>
          <w:p>
            <w:pPr>
              <w:pStyle w:val="1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（2）按照《政府采购促进中小企业发展管理办法》（财库〔2020〕46号）及</w:t>
            </w:r>
            <w:r>
              <w:rPr>
                <w:rFonts w:hint="default" w:ascii="Times New Roman" w:hAnsi="Times New Roman" w:cs="Times New Roman"/>
                <w:color w:val="auto"/>
                <w:sz w:val="21"/>
                <w:szCs w:val="21"/>
                <w:highlight w:val="none"/>
              </w:rPr>
              <w:t>《广西壮族自治区财政厅关于进一步发挥政府采购政策功能促进企业发展的通知》（桂财采〔2022〕30号）</w:t>
            </w:r>
            <w:r>
              <w:rPr>
                <w:rFonts w:hint="default" w:ascii="Times New Roman" w:hAnsi="Times New Roman" w:cs="Times New Roman"/>
                <w:bCs/>
                <w:color w:val="auto"/>
                <w:sz w:val="21"/>
                <w:szCs w:val="21"/>
                <w:highlight w:val="none"/>
              </w:rPr>
              <w:t>的规定，投标人在其投标文件中提供《中小企业声明函》，且其服务为小型和微型企业承接的，对其最后报价给予20%的扣除。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default" w:ascii="Times New Roman" w:hAnsi="Times New Roman" w:cs="Times New Roman"/>
                <w:color w:val="auto"/>
                <w:sz w:val="21"/>
                <w:szCs w:val="21"/>
                <w:highlight w:val="none"/>
              </w:rPr>
              <w:t>监狱企业参加政府采购活动时，应当提供由省级以上监狱管理局、戒毒管理局(含新疆生产建设兵团)出具的属于监狱企业的证明文件。</w:t>
            </w:r>
            <w:r>
              <w:rPr>
                <w:rFonts w:hint="default" w:ascii="Times New Roman" w:hAnsi="Times New Roman" w:cs="Times New Roman"/>
                <w:bCs/>
                <w:color w:val="auto"/>
                <w:sz w:val="21"/>
                <w:szCs w:val="21"/>
                <w:highlight w:val="none"/>
              </w:rPr>
              <w:t>不重复享受政策。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（4）按照</w:t>
            </w:r>
            <w:r>
              <w:rPr>
                <w:rFonts w:hint="default" w:ascii="Times New Roman" w:hAnsi="Times New Roman" w:cs="Times New Roman"/>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default" w:ascii="Times New Roman" w:hAnsi="Times New Roman" w:cs="Times New Roman"/>
                <w:color w:val="auto"/>
                <w:sz w:val="21"/>
                <w:szCs w:val="21"/>
                <w:highlight w:val="none"/>
              </w:rPr>
              <w:t>残疾人福利性单位参加政府采购活动时，应当提供该通知规定的《残疾人福利性单位声明函》，并对声明的真实性负责。</w:t>
            </w:r>
            <w:r>
              <w:rPr>
                <w:rFonts w:hint="default" w:ascii="Times New Roman" w:hAnsi="Times New Roman" w:cs="Times New Roman"/>
                <w:bCs/>
                <w:color w:val="auto"/>
                <w:sz w:val="21"/>
                <w:szCs w:val="21"/>
                <w:highlight w:val="none"/>
              </w:rPr>
              <w:t>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（5）政策性扣除计算方法。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-6%的扣除，用扣除后的价格参加评审，扣除后的价格为评标报价，即评标报价=投标报价×（1- （4%-6%%）。除上述情况外，评标报价=投标报价。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（6）满足招标文件要求且评标报价最低的评标报价为评标基准价，其价格分为满分。</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（7）价格分计算公式：价格分=(评标基准价／评标报价)×</w:t>
            </w:r>
            <w:r>
              <w:rPr>
                <w:rFonts w:hint="eastAsia" w:cs="Times New Roman"/>
                <w:bCs/>
                <w:color w:val="auto"/>
                <w:sz w:val="21"/>
                <w:szCs w:val="21"/>
                <w:highlight w:val="none"/>
                <w:u w:val="single"/>
                <w:lang w:val="en-US" w:eastAsia="zh-CN"/>
              </w:rPr>
              <w:t>10</w:t>
            </w:r>
            <w:r>
              <w:rPr>
                <w:rFonts w:hint="default" w:ascii="Times New Roman" w:hAnsi="Times New Roman" w:cs="Times New Roman"/>
                <w:bCs/>
                <w:color w:val="auto"/>
                <w:sz w:val="21"/>
                <w:szCs w:val="21"/>
                <w:highlight w:val="none"/>
              </w:rPr>
              <w:t>分</w:t>
            </w:r>
          </w:p>
        </w:tc>
        <w:tc>
          <w:tcPr>
            <w:tcW w:w="1406" w:type="dxa"/>
            <w:vAlign w:val="center"/>
          </w:tcPr>
          <w:p>
            <w:pPr>
              <w:snapToGrid w:val="0"/>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《投标报价表》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95" w:type="dxa"/>
            <w:vMerge w:val="restart"/>
            <w:vAlign w:val="center"/>
          </w:tcPr>
          <w:p>
            <w:pPr>
              <w:adjustRightInd w:val="0"/>
              <w:snapToGrid w:val="0"/>
              <w:spacing w:line="360" w:lineRule="atLeast"/>
              <w:jc w:val="center"/>
              <w:textAlignment w:val="baseline"/>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w:t>
            </w:r>
          </w:p>
        </w:tc>
        <w:tc>
          <w:tcPr>
            <w:tcW w:w="891" w:type="dxa"/>
            <w:vMerge w:val="restart"/>
            <w:vAlign w:val="center"/>
          </w:tcPr>
          <w:p>
            <w:pPr>
              <w:widowControl/>
              <w:snapToGrid w:val="0"/>
              <w:spacing w:line="360" w:lineRule="atLeast"/>
              <w:jc w:val="center"/>
              <w:rPr>
                <w:rFonts w:hint="default" w:ascii="Times New Roman" w:hAnsi="Times New Roman" w:cs="Times New Roman"/>
                <w:b/>
                <w:color w:val="auto"/>
                <w:spacing w:val="-2"/>
                <w:sz w:val="21"/>
                <w:szCs w:val="21"/>
                <w:highlight w:val="none"/>
              </w:rPr>
            </w:pPr>
            <w:r>
              <w:rPr>
                <w:rFonts w:hint="default" w:ascii="Times New Roman" w:hAnsi="Times New Roman" w:cs="Times New Roman"/>
                <w:b/>
                <w:color w:val="auto"/>
                <w:spacing w:val="-2"/>
                <w:sz w:val="21"/>
                <w:szCs w:val="21"/>
                <w:highlight w:val="none"/>
              </w:rPr>
              <w:t>技术分</w:t>
            </w:r>
          </w:p>
          <w:p>
            <w:pPr>
              <w:widowControl/>
              <w:snapToGrid w:val="0"/>
              <w:spacing w:line="360" w:lineRule="atLeast"/>
              <w:jc w:val="center"/>
              <w:rPr>
                <w:rFonts w:hint="default" w:ascii="Times New Roman" w:hAnsi="Times New Roman" w:eastAsia="宋体" w:cs="Times New Roman"/>
                <w:b/>
                <w:color w:val="auto"/>
                <w:spacing w:val="-2"/>
                <w:sz w:val="21"/>
                <w:szCs w:val="21"/>
                <w:highlight w:val="none"/>
                <w:lang w:val="en-US" w:eastAsia="zh-CN"/>
              </w:rPr>
            </w:pPr>
            <w:r>
              <w:rPr>
                <w:rFonts w:hint="default" w:ascii="Times New Roman" w:hAnsi="Times New Roman" w:cs="Times New Roman"/>
                <w:b/>
                <w:color w:val="auto"/>
                <w:spacing w:val="-2"/>
                <w:sz w:val="21"/>
                <w:szCs w:val="21"/>
                <w:highlight w:val="none"/>
              </w:rPr>
              <w:t>（</w:t>
            </w:r>
            <w:r>
              <w:rPr>
                <w:rFonts w:hint="eastAsia" w:cs="Times New Roman"/>
                <w:b/>
                <w:color w:val="auto"/>
                <w:spacing w:val="-2"/>
                <w:sz w:val="21"/>
                <w:szCs w:val="21"/>
                <w:highlight w:val="none"/>
                <w:lang w:val="en-US" w:eastAsia="zh-CN"/>
              </w:rPr>
              <w:t>55</w:t>
            </w:r>
            <w:r>
              <w:rPr>
                <w:rFonts w:hint="default" w:ascii="Times New Roman" w:hAnsi="Times New Roman" w:cs="Times New Roman"/>
                <w:b/>
                <w:color w:val="auto"/>
                <w:spacing w:val="-2"/>
                <w:sz w:val="21"/>
                <w:szCs w:val="21"/>
                <w:highlight w:val="none"/>
              </w:rPr>
              <w:t>分）</w:t>
            </w:r>
          </w:p>
        </w:tc>
        <w:tc>
          <w:tcPr>
            <w:tcW w:w="1205" w:type="dxa"/>
            <w:vAlign w:val="center"/>
          </w:tcPr>
          <w:p>
            <w:pPr>
              <w:snapToGrid w:val="0"/>
              <w:spacing w:line="360" w:lineRule="atLeast"/>
              <w:jc w:val="center"/>
              <w:rPr>
                <w:rFonts w:hint="default" w:ascii="Times New Roman" w:hAnsi="Times New Roman"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lang w:eastAsia="zh-CN"/>
              </w:rPr>
              <w:t>（1）对本项目的理解程度（满分</w:t>
            </w:r>
            <w:r>
              <w:rPr>
                <w:rFonts w:hint="eastAsia" w:cs="Times New Roman"/>
                <w:b/>
                <w:bCs/>
                <w:color w:val="auto"/>
                <w:sz w:val="21"/>
                <w:szCs w:val="21"/>
                <w:highlight w:val="none"/>
                <w:lang w:val="en-US" w:eastAsia="zh-CN"/>
              </w:rPr>
              <w:t>18</w:t>
            </w:r>
            <w:r>
              <w:rPr>
                <w:rFonts w:hint="default" w:ascii="Times New Roman" w:hAnsi="Times New Roman" w:eastAsia="宋体" w:cs="Times New Roman"/>
                <w:b/>
                <w:bCs/>
                <w:color w:val="auto"/>
                <w:sz w:val="21"/>
                <w:szCs w:val="21"/>
                <w:highlight w:val="none"/>
                <w:lang w:eastAsia="zh-CN"/>
              </w:rPr>
              <w:t>分）</w:t>
            </w:r>
          </w:p>
        </w:tc>
        <w:tc>
          <w:tcPr>
            <w:tcW w:w="4622" w:type="dxa"/>
            <w:vAlign w:val="center"/>
          </w:tcPr>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一档（5分）：与实际偏差较大，工艺流程图，图文、参数简单。</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二档（</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分）：</w:t>
            </w:r>
            <w:r>
              <w:rPr>
                <w:rFonts w:hint="default" w:ascii="Times New Roman" w:hAnsi="Times New Roman" w:eastAsia="宋体" w:cs="Times New Roman"/>
                <w:color w:val="auto"/>
                <w:sz w:val="21"/>
                <w:szCs w:val="21"/>
                <w:highlight w:val="none"/>
              </w:rPr>
              <w:t>与实际基本相符，能描述本项目污水处理的工作原理，工艺流程图，</w:t>
            </w:r>
            <w:r>
              <w:rPr>
                <w:rFonts w:hint="default" w:ascii="Times New Roman" w:hAnsi="Times New Roman" w:eastAsia="宋体" w:cs="Times New Roman"/>
                <w:color w:val="auto"/>
                <w:sz w:val="21"/>
                <w:szCs w:val="21"/>
                <w:highlight w:val="none"/>
                <w:lang w:val="en-US" w:eastAsia="zh-CN"/>
              </w:rPr>
              <w:t>图文</w:t>
            </w:r>
            <w:r>
              <w:rPr>
                <w:rFonts w:hint="default" w:ascii="Times New Roman" w:hAnsi="Times New Roman" w:eastAsia="宋体" w:cs="Times New Roman"/>
                <w:color w:val="auto"/>
                <w:sz w:val="21"/>
                <w:szCs w:val="21"/>
                <w:highlight w:val="none"/>
              </w:rPr>
              <w:t>、参数符合均合理。</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三档</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13</w:t>
            </w:r>
            <w:r>
              <w:rPr>
                <w:rFonts w:hint="default" w:ascii="Times New Roman" w:hAnsi="Times New Roman" w:eastAsia="宋体" w:cs="Times New Roman"/>
                <w:color w:val="auto"/>
                <w:sz w:val="21"/>
                <w:szCs w:val="21"/>
                <w:highlight w:val="none"/>
              </w:rPr>
              <w:t>分）：能准确理解及描述本项目污水处理的工作原理，并配以工艺流程图，图文、参数与项目实际相切合</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能提出本项目的缺陷</w:t>
            </w:r>
            <w:r>
              <w:rPr>
                <w:rFonts w:hint="default" w:ascii="Times New Roman" w:hAnsi="Times New Roman" w:eastAsia="宋体" w:cs="Times New Roman"/>
                <w:color w:val="auto"/>
                <w:sz w:val="21"/>
                <w:szCs w:val="21"/>
                <w:highlight w:val="none"/>
              </w:rPr>
              <w:t>。</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四档</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分）：能准确理解及描述本项目污水处理的工作原理，并配以工艺流程图，图文、参数与项目实际相切合，</w:t>
            </w:r>
            <w:r>
              <w:rPr>
                <w:rFonts w:hint="default" w:ascii="Times New Roman" w:hAnsi="Times New Roman" w:eastAsia="宋体" w:cs="Times New Roman"/>
                <w:color w:val="auto"/>
                <w:sz w:val="21"/>
                <w:szCs w:val="21"/>
                <w:highlight w:val="none"/>
                <w:lang w:eastAsia="zh-CN"/>
              </w:rPr>
              <w:t>且能</w:t>
            </w:r>
            <w:r>
              <w:rPr>
                <w:rFonts w:hint="default" w:ascii="Times New Roman" w:hAnsi="Times New Roman" w:eastAsia="宋体" w:cs="Times New Roman"/>
                <w:color w:val="auto"/>
                <w:sz w:val="21"/>
                <w:szCs w:val="21"/>
                <w:highlight w:val="none"/>
                <w:lang w:val="en-US" w:eastAsia="zh-CN"/>
              </w:rPr>
              <w:t>提出本项目</w:t>
            </w:r>
            <w:r>
              <w:rPr>
                <w:rFonts w:hint="default" w:ascii="Times New Roman" w:hAnsi="Times New Roman" w:eastAsia="宋体" w:cs="Times New Roman"/>
                <w:color w:val="auto"/>
                <w:sz w:val="21"/>
                <w:szCs w:val="21"/>
                <w:highlight w:val="none"/>
                <w:lang w:eastAsia="zh-CN"/>
              </w:rPr>
              <w:t>存在的缺陷</w:t>
            </w:r>
            <w:r>
              <w:rPr>
                <w:rFonts w:hint="default" w:ascii="Times New Roman" w:hAnsi="Times New Roman" w:eastAsia="宋体" w:cs="Times New Roman"/>
                <w:color w:val="auto"/>
                <w:sz w:val="21"/>
                <w:szCs w:val="21"/>
                <w:highlight w:val="none"/>
                <w:lang w:val="en-US" w:eastAsia="zh-CN"/>
              </w:rPr>
              <w:t>并给出</w:t>
            </w:r>
            <w:r>
              <w:rPr>
                <w:rFonts w:hint="default" w:ascii="Times New Roman" w:hAnsi="Times New Roman" w:eastAsia="宋体" w:cs="Times New Roman"/>
                <w:color w:val="auto"/>
                <w:sz w:val="21"/>
                <w:szCs w:val="21"/>
                <w:highlight w:val="none"/>
                <w:lang w:eastAsia="zh-CN"/>
              </w:rPr>
              <w:t>优化措施，</w:t>
            </w:r>
            <w:r>
              <w:rPr>
                <w:rFonts w:hint="default" w:ascii="Times New Roman" w:hAnsi="Times New Roman" w:eastAsia="宋体" w:cs="Times New Roman"/>
                <w:color w:val="auto"/>
                <w:sz w:val="21"/>
                <w:szCs w:val="21"/>
                <w:highlight w:val="none"/>
              </w:rPr>
              <w:t>整体协调，科学合理。</w:t>
            </w:r>
          </w:p>
          <w:p>
            <w:pPr>
              <w:pageBreakBefore w:val="0"/>
              <w:kinsoku/>
              <w:wordWrap/>
              <w:overflowPunct/>
              <w:topLinePunct w:val="0"/>
              <w:autoSpaceDE/>
              <w:autoSpaceDN/>
              <w:bidi w:val="0"/>
              <w:spacing w:line="360" w:lineRule="auto"/>
              <w:ind w:firstLine="420" w:firstLineChars="200"/>
              <w:rPr>
                <w:rFonts w:hint="default" w:ascii="Times New Roman" w:hAnsi="Times New Roman" w:cs="Times New Roman"/>
                <w:b/>
                <w:bCs/>
                <w:color w:val="auto"/>
                <w:sz w:val="21"/>
                <w:szCs w:val="21"/>
                <w:highlight w:val="none"/>
                <w:u w:val="single"/>
              </w:rPr>
            </w:pPr>
            <w:r>
              <w:rPr>
                <w:rFonts w:hint="default" w:ascii="Times New Roman" w:hAnsi="Times New Roman" w:eastAsia="宋体" w:cs="Times New Roman"/>
                <w:color w:val="auto"/>
                <w:sz w:val="21"/>
                <w:szCs w:val="21"/>
                <w:highlight w:val="none"/>
              </w:rPr>
              <w:t>备注：本项内容投标文件中未提供的，得0分。</w:t>
            </w:r>
          </w:p>
        </w:tc>
        <w:tc>
          <w:tcPr>
            <w:tcW w:w="1406" w:type="dxa"/>
            <w:vAlign w:val="center"/>
          </w:tcPr>
          <w:p>
            <w:pPr>
              <w:widowControl/>
              <w:snapToGrid w:val="0"/>
              <w:spacing w:line="360" w:lineRule="atLeas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项目理解程度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395" w:type="dxa"/>
            <w:vMerge w:val="continue"/>
            <w:vAlign w:val="top"/>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p>
        </w:tc>
        <w:tc>
          <w:tcPr>
            <w:tcW w:w="891" w:type="dxa"/>
            <w:vMerge w:val="continue"/>
            <w:vAlign w:val="top"/>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p>
        </w:tc>
        <w:tc>
          <w:tcPr>
            <w:tcW w:w="1205" w:type="dxa"/>
            <w:tcMar>
              <w:left w:w="57" w:type="dxa"/>
              <w:right w:w="57" w:type="dxa"/>
            </w:tcMar>
            <w:vAlign w:val="center"/>
          </w:tcPr>
          <w:p>
            <w:pPr>
              <w:snapToGrid w:val="0"/>
              <w:spacing w:line="360" w:lineRule="atLeast"/>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eastAsia="zh-CN"/>
              </w:rPr>
              <w:t>）运营服务管理方案</w:t>
            </w:r>
          </w:p>
          <w:p>
            <w:pPr>
              <w:snapToGrid w:val="0"/>
              <w:spacing w:line="360" w:lineRule="atLeast"/>
              <w:jc w:val="center"/>
              <w:rPr>
                <w:rFonts w:hint="default" w:ascii="Times New Roman" w:hAnsi="Times New Roman" w:cs="Times New Roman"/>
                <w:b/>
                <w:bCs w:val="0"/>
                <w:color w:val="auto"/>
                <w:sz w:val="21"/>
                <w:szCs w:val="21"/>
                <w:highlight w:val="none"/>
              </w:rPr>
            </w:pPr>
            <w:r>
              <w:rPr>
                <w:rFonts w:hint="default" w:ascii="Times New Roman" w:hAnsi="Times New Roman" w:eastAsia="宋体" w:cs="Times New Roman"/>
                <w:b/>
                <w:bCs/>
                <w:color w:val="auto"/>
                <w:sz w:val="21"/>
                <w:szCs w:val="21"/>
                <w:highlight w:val="none"/>
                <w:lang w:eastAsia="zh-CN"/>
              </w:rPr>
              <w:t>（</w:t>
            </w:r>
            <w:r>
              <w:rPr>
                <w:rFonts w:hint="eastAsia" w:cs="Times New Roman"/>
                <w:b/>
                <w:bCs/>
                <w:color w:val="auto"/>
                <w:sz w:val="21"/>
                <w:szCs w:val="21"/>
                <w:highlight w:val="none"/>
                <w:lang w:val="en-US" w:eastAsia="zh-CN"/>
              </w:rPr>
              <w:t>18</w:t>
            </w:r>
            <w:r>
              <w:rPr>
                <w:rFonts w:hint="default" w:ascii="Times New Roman" w:hAnsi="Times New Roman" w:eastAsia="宋体" w:cs="Times New Roman"/>
                <w:b/>
                <w:bCs/>
                <w:color w:val="auto"/>
                <w:sz w:val="21"/>
                <w:szCs w:val="21"/>
                <w:highlight w:val="none"/>
                <w:lang w:val="en-US" w:eastAsia="zh-CN"/>
              </w:rPr>
              <w:t>分</w:t>
            </w:r>
            <w:r>
              <w:rPr>
                <w:rFonts w:hint="default" w:ascii="Times New Roman" w:hAnsi="Times New Roman" w:eastAsia="宋体" w:cs="Times New Roman"/>
                <w:b/>
                <w:bCs/>
                <w:color w:val="auto"/>
                <w:sz w:val="21"/>
                <w:szCs w:val="21"/>
                <w:highlight w:val="none"/>
                <w:lang w:eastAsia="zh-CN"/>
              </w:rPr>
              <w:t>）</w:t>
            </w:r>
          </w:p>
        </w:tc>
        <w:tc>
          <w:tcPr>
            <w:tcW w:w="4622" w:type="dxa"/>
            <w:vAlign w:val="center"/>
          </w:tcPr>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一档（</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分）：实施方案编写内容基本完整，方案针对性弱，合理性差，经济性差。</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二</w:t>
            </w:r>
            <w:r>
              <w:rPr>
                <w:rFonts w:hint="default" w:ascii="Times New Roman" w:hAnsi="Times New Roman" w:eastAsia="宋体" w:cs="Times New Roman"/>
                <w:color w:val="auto"/>
                <w:sz w:val="21"/>
                <w:szCs w:val="21"/>
                <w:highlight w:val="none"/>
              </w:rPr>
              <w:t>档（</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分）：日常维护管理方案简单，基本满足采购文件要求；</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三</w:t>
            </w:r>
            <w:r>
              <w:rPr>
                <w:rFonts w:hint="default" w:ascii="Times New Roman" w:hAnsi="Times New Roman" w:eastAsia="宋体" w:cs="Times New Roman"/>
                <w:color w:val="auto"/>
                <w:sz w:val="21"/>
                <w:szCs w:val="21"/>
                <w:highlight w:val="none"/>
              </w:rPr>
              <w:t>档（</w:t>
            </w:r>
            <w:r>
              <w:rPr>
                <w:rFonts w:hint="eastAsia" w:cs="Times New Roman"/>
                <w:color w:val="auto"/>
                <w:sz w:val="21"/>
                <w:szCs w:val="21"/>
                <w:highlight w:val="none"/>
                <w:lang w:val="en-US" w:eastAsia="zh-CN"/>
              </w:rPr>
              <w:t>13</w:t>
            </w:r>
            <w:r>
              <w:rPr>
                <w:rFonts w:hint="default" w:ascii="Times New Roman" w:hAnsi="Times New Roman" w:eastAsia="宋体" w:cs="Times New Roman"/>
                <w:color w:val="auto"/>
                <w:sz w:val="21"/>
                <w:szCs w:val="21"/>
                <w:highlight w:val="none"/>
              </w:rPr>
              <w:t>分）：日常维护管理方案较详细，人员、设备投入较合理，有针对性的质量控制措施及相关管理制度，各项维护运行记录较全面，有较可行的维护处理计划</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与具有消毒药品生产、销售资质的公司签订合同以保证项目日常维护管理的质量</w:t>
            </w:r>
            <w:r>
              <w:rPr>
                <w:rFonts w:hint="default" w:ascii="Times New Roman" w:hAnsi="Times New Roman" w:eastAsia="宋体" w:cs="Times New Roman"/>
                <w:color w:val="auto"/>
                <w:sz w:val="21"/>
                <w:szCs w:val="21"/>
                <w:highlight w:val="none"/>
              </w:rPr>
              <w:t>；</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四</w:t>
            </w:r>
            <w:r>
              <w:rPr>
                <w:rFonts w:hint="default" w:ascii="Times New Roman" w:hAnsi="Times New Roman" w:eastAsia="宋体" w:cs="Times New Roman"/>
                <w:color w:val="auto"/>
                <w:sz w:val="21"/>
                <w:szCs w:val="21"/>
                <w:highlight w:val="none"/>
              </w:rPr>
              <w:t>档（</w:t>
            </w:r>
            <w:r>
              <w:rPr>
                <w:rFonts w:hint="eastAsia"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分）：日常维护管理方案全面、详细，人员、设备投入合理可行，有详细的设备维护方案及计划、污泥处置管理制度、资源消耗分析、质量控制措施</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定期巡检制度和异常问题分析及故障诊断与排除方案各项维护运行记录全面，维护处理计划突出重点，方案切实可行，完全满足采购文件要求</w:t>
            </w:r>
            <w:r>
              <w:rPr>
                <w:rFonts w:hint="default" w:ascii="Times New Roman" w:hAnsi="Times New Roman" w:eastAsia="宋体" w:cs="Times New Roman"/>
                <w:color w:val="auto"/>
                <w:sz w:val="21"/>
                <w:szCs w:val="21"/>
                <w:highlight w:val="none"/>
                <w:lang w:val="en-US" w:eastAsia="zh-CN"/>
              </w:rPr>
              <w:t>，与具有消毒药品生产、销售资质的公司签订合同</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具有污泥处置资质或者与具有污泥处置资质的第三方公司签订合同以保证项目日常维护管理的质量</w:t>
            </w:r>
            <w:r>
              <w:rPr>
                <w:rFonts w:hint="default" w:ascii="Times New Roman" w:hAnsi="Times New Roman" w:cs="Times New Roman"/>
                <w:color w:val="auto"/>
                <w:sz w:val="21"/>
                <w:szCs w:val="21"/>
                <w:highlight w:val="none"/>
                <w:lang w:val="en-US" w:eastAsia="zh-CN"/>
              </w:rPr>
              <w:t>。</w:t>
            </w:r>
          </w:p>
          <w:p>
            <w:pPr>
              <w:pageBreakBefore w:val="0"/>
              <w:kinsoku/>
              <w:wordWrap/>
              <w:overflowPunct/>
              <w:topLinePunct w:val="0"/>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Style w:val="19"/>
                <w:rFonts w:hint="default" w:ascii="Times New Roman" w:hAnsi="Times New Roman" w:eastAsia="Calibri" w:cs="Times New Roman"/>
                <w:color w:val="auto"/>
                <w:sz w:val="21"/>
                <w:szCs w:val="21"/>
                <w:highlight w:val="none"/>
              </w:rPr>
              <w:t>备注：本项内容投标文件中未提供的，得0分。</w:t>
            </w:r>
          </w:p>
        </w:tc>
        <w:tc>
          <w:tcPr>
            <w:tcW w:w="1406" w:type="dxa"/>
            <w:vAlign w:val="center"/>
          </w:tcPr>
          <w:p>
            <w:pPr>
              <w:widowControl/>
              <w:snapToGrid w:val="0"/>
              <w:spacing w:line="360" w:lineRule="atLeast"/>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lang w:eastAsia="zh-CN"/>
              </w:rPr>
              <w:t>运营服务管理方案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395" w:type="dxa"/>
            <w:vMerge w:val="continue"/>
            <w:vAlign w:val="top"/>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p>
        </w:tc>
        <w:tc>
          <w:tcPr>
            <w:tcW w:w="891" w:type="dxa"/>
            <w:vMerge w:val="continue"/>
            <w:vAlign w:val="top"/>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p>
        </w:tc>
        <w:tc>
          <w:tcPr>
            <w:tcW w:w="1205" w:type="dxa"/>
            <w:tcMar>
              <w:left w:w="57" w:type="dxa"/>
              <w:right w:w="57" w:type="dxa"/>
            </w:tcMar>
            <w:vAlign w:val="center"/>
          </w:tcPr>
          <w:p>
            <w:pPr>
              <w:widowControl/>
              <w:snapToGrid w:val="0"/>
              <w:spacing w:line="360" w:lineRule="atLeast"/>
              <w:jc w:val="center"/>
              <w:rPr>
                <w:rFonts w:hint="default" w:ascii="Times New Roman" w:hAnsi="Times New Roman" w:eastAsia="宋体" w:cs="Times New Roman"/>
                <w:b/>
                <w:bCs/>
                <w:color w:val="auto"/>
                <w:sz w:val="21"/>
                <w:szCs w:val="21"/>
                <w:highlight w:val="none"/>
                <w:lang w:val="en-US" w:eastAsia="zh-CN"/>
              </w:rPr>
            </w:pPr>
          </w:p>
          <w:p>
            <w:pPr>
              <w:widowControl/>
              <w:snapToGrid w:val="0"/>
              <w:spacing w:line="360" w:lineRule="atLeas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安全防护制度及应急计划</w:t>
            </w:r>
          </w:p>
          <w:p>
            <w:pPr>
              <w:widowControl/>
              <w:snapToGrid w:val="0"/>
              <w:spacing w:line="360" w:lineRule="atLeast"/>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满分</w:t>
            </w:r>
            <w:r>
              <w:rPr>
                <w:rFonts w:hint="eastAsia" w:cs="Times New Roman"/>
                <w:b/>
                <w:bCs/>
                <w:color w:val="auto"/>
                <w:sz w:val="21"/>
                <w:szCs w:val="21"/>
                <w:highlight w:val="none"/>
                <w:lang w:val="en-US" w:eastAsia="zh-CN"/>
              </w:rPr>
              <w:t>19</w:t>
            </w:r>
            <w:r>
              <w:rPr>
                <w:rFonts w:hint="default" w:ascii="Times New Roman" w:hAnsi="Times New Roman" w:eastAsia="宋体" w:cs="Times New Roman"/>
                <w:b/>
                <w:bCs/>
                <w:color w:val="auto"/>
                <w:sz w:val="21"/>
                <w:szCs w:val="21"/>
                <w:highlight w:val="none"/>
                <w:lang w:val="en-US" w:eastAsia="zh-CN"/>
              </w:rPr>
              <w:t>分</w:t>
            </w:r>
            <w:r>
              <w:rPr>
                <w:rFonts w:hint="default" w:ascii="Times New Roman" w:hAnsi="Times New Roman" w:eastAsia="宋体" w:cs="Times New Roman"/>
                <w:b/>
                <w:bCs/>
                <w:color w:val="auto"/>
                <w:sz w:val="21"/>
                <w:szCs w:val="21"/>
                <w:highlight w:val="none"/>
                <w:lang w:eastAsia="zh-CN"/>
              </w:rPr>
              <w:t>）</w:t>
            </w:r>
          </w:p>
        </w:tc>
        <w:tc>
          <w:tcPr>
            <w:tcW w:w="4622" w:type="dxa"/>
            <w:vAlign w:val="center"/>
          </w:tcPr>
          <w:p>
            <w:pPr>
              <w:pageBreakBefore w:val="0"/>
              <w:kinsoku/>
              <w:wordWrap/>
              <w:overflowPunct/>
              <w:topLinePunct w:val="0"/>
              <w:autoSpaceDE/>
              <w:autoSpaceDN/>
              <w:bidi w:val="0"/>
              <w:spacing w:line="360" w:lineRule="auto"/>
              <w:ind w:firstLine="420" w:firstLineChars="200"/>
              <w:rPr>
                <w:rStyle w:val="17"/>
                <w:rFonts w:hint="default" w:ascii="Times New Roman" w:hAnsi="Times New Roman" w:eastAsia="宋体" w:cs="Times New Roman"/>
                <w:bCs/>
                <w:color w:val="auto"/>
                <w:sz w:val="21"/>
                <w:szCs w:val="21"/>
                <w:highlight w:val="none"/>
              </w:rPr>
            </w:pPr>
            <w:r>
              <w:rPr>
                <w:rStyle w:val="17"/>
                <w:rFonts w:hint="default" w:ascii="Times New Roman" w:hAnsi="Times New Roman" w:eastAsia="宋体" w:cs="Times New Roman"/>
                <w:bCs/>
                <w:color w:val="auto"/>
                <w:sz w:val="21"/>
                <w:szCs w:val="21"/>
                <w:highlight w:val="none"/>
              </w:rPr>
              <w:t>一档（</w:t>
            </w:r>
            <w:r>
              <w:rPr>
                <w:rStyle w:val="17"/>
                <w:rFonts w:hint="eastAsia" w:cs="Times New Roman"/>
                <w:bCs/>
                <w:color w:val="auto"/>
                <w:sz w:val="21"/>
                <w:szCs w:val="21"/>
                <w:highlight w:val="none"/>
                <w:lang w:val="en-US" w:eastAsia="zh-CN"/>
              </w:rPr>
              <w:t>5</w:t>
            </w:r>
            <w:r>
              <w:rPr>
                <w:rStyle w:val="17"/>
                <w:rFonts w:hint="default" w:ascii="Times New Roman" w:hAnsi="Times New Roman" w:eastAsia="宋体" w:cs="Times New Roman"/>
                <w:bCs/>
                <w:color w:val="auto"/>
                <w:sz w:val="21"/>
                <w:szCs w:val="21"/>
                <w:highlight w:val="none"/>
              </w:rPr>
              <w:t>分）</w:t>
            </w:r>
            <w:r>
              <w:rPr>
                <w:rStyle w:val="17"/>
                <w:rFonts w:hint="default" w:ascii="Times New Roman" w:hAnsi="Times New Roman" w:eastAsia="宋体" w:cs="Times New Roman"/>
                <w:bCs/>
                <w:color w:val="auto"/>
                <w:sz w:val="21"/>
                <w:szCs w:val="21"/>
                <w:highlight w:val="none"/>
                <w:lang w:eastAsia="zh-CN"/>
              </w:rPr>
              <w:t>：</w:t>
            </w:r>
            <w:r>
              <w:rPr>
                <w:rStyle w:val="17"/>
                <w:rFonts w:hint="default" w:ascii="Times New Roman" w:hAnsi="Times New Roman" w:eastAsia="宋体" w:cs="Times New Roman"/>
                <w:bCs/>
                <w:color w:val="auto"/>
                <w:sz w:val="21"/>
                <w:szCs w:val="21"/>
                <w:highlight w:val="none"/>
              </w:rPr>
              <w:t>应急预案编制简单，可操作性不强。</w:t>
            </w:r>
          </w:p>
          <w:p>
            <w:pPr>
              <w:pageBreakBefore w:val="0"/>
              <w:kinsoku/>
              <w:wordWrap/>
              <w:overflowPunct/>
              <w:topLinePunct w:val="0"/>
              <w:autoSpaceDE/>
              <w:autoSpaceDN/>
              <w:bidi w:val="0"/>
              <w:spacing w:line="360" w:lineRule="auto"/>
              <w:ind w:firstLine="420" w:firstLineChars="200"/>
              <w:rPr>
                <w:rStyle w:val="17"/>
                <w:rFonts w:hint="default" w:ascii="Times New Roman" w:hAnsi="Times New Roman" w:eastAsia="宋体" w:cs="Times New Roman"/>
                <w:bCs/>
                <w:color w:val="auto"/>
                <w:sz w:val="21"/>
                <w:szCs w:val="21"/>
                <w:highlight w:val="none"/>
                <w:lang w:val="en-US" w:eastAsia="zh-CN"/>
              </w:rPr>
            </w:pPr>
            <w:r>
              <w:rPr>
                <w:rStyle w:val="17"/>
                <w:rFonts w:hint="default" w:ascii="Times New Roman" w:hAnsi="Times New Roman" w:eastAsia="宋体" w:cs="Times New Roman"/>
                <w:bCs/>
                <w:color w:val="auto"/>
                <w:sz w:val="21"/>
                <w:szCs w:val="21"/>
                <w:highlight w:val="none"/>
                <w:lang w:val="en-US" w:eastAsia="zh-CN"/>
              </w:rPr>
              <w:t>二</w:t>
            </w:r>
            <w:r>
              <w:rPr>
                <w:rStyle w:val="17"/>
                <w:rFonts w:hint="default" w:ascii="Times New Roman" w:hAnsi="Times New Roman" w:eastAsia="宋体" w:cs="Times New Roman"/>
                <w:bCs/>
                <w:color w:val="auto"/>
                <w:sz w:val="21"/>
                <w:szCs w:val="21"/>
                <w:highlight w:val="none"/>
              </w:rPr>
              <w:t>档（</w:t>
            </w:r>
            <w:r>
              <w:rPr>
                <w:rStyle w:val="17"/>
                <w:rFonts w:hint="eastAsia" w:cs="Times New Roman"/>
                <w:bCs/>
                <w:color w:val="auto"/>
                <w:sz w:val="21"/>
                <w:szCs w:val="21"/>
                <w:highlight w:val="none"/>
                <w:lang w:val="en-US" w:eastAsia="zh-CN"/>
              </w:rPr>
              <w:t>10</w:t>
            </w:r>
            <w:r>
              <w:rPr>
                <w:rStyle w:val="17"/>
                <w:rFonts w:hint="default" w:ascii="Times New Roman" w:hAnsi="Times New Roman" w:eastAsia="宋体" w:cs="Times New Roman"/>
                <w:bCs/>
                <w:color w:val="auto"/>
                <w:sz w:val="21"/>
                <w:szCs w:val="21"/>
                <w:highlight w:val="none"/>
              </w:rPr>
              <w:t>分）：有简单安全防护制度及应急计划，基本能够保证在日常正常运行；</w:t>
            </w:r>
          </w:p>
          <w:p>
            <w:pPr>
              <w:pageBreakBefore w:val="0"/>
              <w:kinsoku/>
              <w:wordWrap/>
              <w:overflowPunct/>
              <w:topLinePunct w:val="0"/>
              <w:autoSpaceDE/>
              <w:autoSpaceDN/>
              <w:bidi w:val="0"/>
              <w:spacing w:line="360" w:lineRule="auto"/>
              <w:ind w:firstLine="420" w:firstLineChars="200"/>
              <w:rPr>
                <w:rStyle w:val="17"/>
                <w:rFonts w:hint="default" w:ascii="Times New Roman" w:hAnsi="Times New Roman" w:eastAsia="宋体" w:cs="Times New Roman"/>
                <w:bCs/>
                <w:color w:val="auto"/>
                <w:sz w:val="21"/>
                <w:szCs w:val="21"/>
                <w:highlight w:val="none"/>
              </w:rPr>
            </w:pPr>
            <w:r>
              <w:rPr>
                <w:rStyle w:val="17"/>
                <w:rFonts w:hint="default" w:ascii="Times New Roman" w:hAnsi="Times New Roman" w:eastAsia="宋体" w:cs="Times New Roman"/>
                <w:bCs/>
                <w:color w:val="auto"/>
                <w:sz w:val="21"/>
                <w:szCs w:val="21"/>
                <w:highlight w:val="none"/>
                <w:lang w:val="en-US" w:eastAsia="zh-CN"/>
              </w:rPr>
              <w:t>三</w:t>
            </w:r>
            <w:r>
              <w:rPr>
                <w:rStyle w:val="17"/>
                <w:rFonts w:hint="default" w:ascii="Times New Roman" w:hAnsi="Times New Roman" w:eastAsia="宋体" w:cs="Times New Roman"/>
                <w:bCs/>
                <w:color w:val="auto"/>
                <w:sz w:val="21"/>
                <w:szCs w:val="21"/>
                <w:highlight w:val="none"/>
              </w:rPr>
              <w:t>档（</w:t>
            </w:r>
            <w:r>
              <w:rPr>
                <w:rStyle w:val="17"/>
                <w:rFonts w:hint="eastAsia" w:cs="Times New Roman"/>
                <w:bCs/>
                <w:color w:val="auto"/>
                <w:sz w:val="21"/>
                <w:szCs w:val="21"/>
                <w:highlight w:val="none"/>
                <w:lang w:val="en-US" w:eastAsia="zh-CN"/>
              </w:rPr>
              <w:t>14</w:t>
            </w:r>
            <w:r>
              <w:rPr>
                <w:rStyle w:val="17"/>
                <w:rFonts w:hint="default" w:ascii="Times New Roman" w:hAnsi="Times New Roman" w:eastAsia="宋体" w:cs="Times New Roman"/>
                <w:bCs/>
                <w:color w:val="auto"/>
                <w:sz w:val="21"/>
                <w:szCs w:val="21"/>
                <w:highlight w:val="none"/>
              </w:rPr>
              <w:t>分）：有较详细的安全防护制度及应急计划，基本能够保证在日常及突发事件时正常运行</w:t>
            </w:r>
            <w:r>
              <w:rPr>
                <w:rStyle w:val="17"/>
                <w:rFonts w:hint="default" w:ascii="Times New Roman" w:hAnsi="Times New Roman" w:cs="Times New Roman"/>
                <w:bCs/>
                <w:color w:val="auto"/>
                <w:sz w:val="21"/>
                <w:szCs w:val="21"/>
                <w:highlight w:val="none"/>
                <w:lang w:eastAsia="zh-CN"/>
              </w:rPr>
              <w:t>，</w:t>
            </w:r>
            <w:r>
              <w:rPr>
                <w:rStyle w:val="17"/>
                <w:rFonts w:hint="default" w:ascii="Times New Roman" w:hAnsi="Times New Roman" w:cs="Times New Roman"/>
                <w:bCs/>
                <w:color w:val="auto"/>
                <w:sz w:val="21"/>
                <w:szCs w:val="21"/>
                <w:highlight w:val="none"/>
                <w:lang w:val="en-US" w:eastAsia="zh-CN"/>
              </w:rPr>
              <w:t>有基本的迎接协助医院完成相关部门的检查工作方案</w:t>
            </w:r>
            <w:r>
              <w:rPr>
                <w:rStyle w:val="17"/>
                <w:rFonts w:hint="default" w:ascii="Times New Roman" w:hAnsi="Times New Roman" w:eastAsia="宋体" w:cs="Times New Roman"/>
                <w:bCs/>
                <w:color w:val="auto"/>
                <w:sz w:val="21"/>
                <w:szCs w:val="21"/>
                <w:highlight w:val="none"/>
              </w:rPr>
              <w:t>；</w:t>
            </w:r>
          </w:p>
          <w:p>
            <w:pPr>
              <w:pageBreakBefore w:val="0"/>
              <w:kinsoku/>
              <w:wordWrap/>
              <w:overflowPunct/>
              <w:topLinePunct w:val="0"/>
              <w:autoSpaceDE/>
              <w:autoSpaceDN/>
              <w:bidi w:val="0"/>
              <w:spacing w:line="360" w:lineRule="auto"/>
              <w:ind w:firstLine="420" w:firstLineChars="200"/>
              <w:rPr>
                <w:rStyle w:val="17"/>
                <w:rFonts w:hint="default" w:ascii="Times New Roman" w:hAnsi="Times New Roman" w:eastAsia="宋体" w:cs="Times New Roman"/>
                <w:bCs/>
                <w:color w:val="auto"/>
                <w:sz w:val="21"/>
                <w:szCs w:val="21"/>
                <w:highlight w:val="none"/>
              </w:rPr>
            </w:pPr>
            <w:r>
              <w:rPr>
                <w:rStyle w:val="17"/>
                <w:rFonts w:hint="default" w:ascii="Times New Roman" w:hAnsi="Times New Roman" w:eastAsia="宋体" w:cs="Times New Roman"/>
                <w:bCs/>
                <w:color w:val="auto"/>
                <w:sz w:val="21"/>
                <w:szCs w:val="21"/>
                <w:highlight w:val="none"/>
                <w:lang w:val="en-US" w:eastAsia="zh-CN"/>
              </w:rPr>
              <w:t>四</w:t>
            </w:r>
            <w:r>
              <w:rPr>
                <w:rStyle w:val="17"/>
                <w:rFonts w:hint="default" w:ascii="Times New Roman" w:hAnsi="Times New Roman" w:eastAsia="宋体" w:cs="Times New Roman"/>
                <w:bCs/>
                <w:color w:val="auto"/>
                <w:sz w:val="21"/>
                <w:szCs w:val="21"/>
                <w:highlight w:val="none"/>
              </w:rPr>
              <w:t>档（</w:t>
            </w:r>
            <w:r>
              <w:rPr>
                <w:rStyle w:val="17"/>
                <w:rFonts w:hint="eastAsia" w:cs="Times New Roman"/>
                <w:bCs/>
                <w:color w:val="auto"/>
                <w:sz w:val="21"/>
                <w:szCs w:val="21"/>
                <w:highlight w:val="none"/>
                <w:lang w:val="en-US" w:eastAsia="zh-CN"/>
              </w:rPr>
              <w:t>19</w:t>
            </w:r>
            <w:r>
              <w:rPr>
                <w:rStyle w:val="17"/>
                <w:rFonts w:hint="default" w:ascii="Times New Roman" w:hAnsi="Times New Roman" w:eastAsia="宋体" w:cs="Times New Roman"/>
                <w:bCs/>
                <w:color w:val="auto"/>
                <w:sz w:val="21"/>
                <w:szCs w:val="21"/>
                <w:highlight w:val="none"/>
              </w:rPr>
              <w:t>分）：有详细的、有效的安全防护制度及应急计划，对可能出现的突发事件有深入的分析，针对突发事件的处理措施和应急预案编制贴合实际，人员与设备有保证，具有很强的可操作性</w:t>
            </w:r>
            <w:r>
              <w:rPr>
                <w:rStyle w:val="17"/>
                <w:rFonts w:hint="eastAsia" w:cs="Times New Roman"/>
                <w:bCs/>
                <w:color w:val="auto"/>
                <w:sz w:val="21"/>
                <w:szCs w:val="21"/>
                <w:highlight w:val="none"/>
                <w:lang w:eastAsia="zh-CN"/>
              </w:rPr>
              <w:t>，</w:t>
            </w:r>
            <w:r>
              <w:rPr>
                <w:rStyle w:val="17"/>
                <w:rFonts w:hint="eastAsia" w:cs="Times New Roman"/>
                <w:bCs/>
                <w:color w:val="auto"/>
                <w:sz w:val="21"/>
                <w:szCs w:val="21"/>
                <w:highlight w:val="none"/>
                <w:lang w:val="en-US" w:eastAsia="zh-CN"/>
              </w:rPr>
              <w:t>具有相应的完善的安全生产管理条例保证项目的安全进行</w:t>
            </w:r>
            <w:r>
              <w:rPr>
                <w:rStyle w:val="17"/>
                <w:rFonts w:hint="default" w:ascii="Times New Roman" w:hAnsi="Times New Roman" w:eastAsia="宋体" w:cs="Times New Roman"/>
                <w:bCs/>
                <w:color w:val="auto"/>
                <w:sz w:val="21"/>
                <w:szCs w:val="21"/>
                <w:highlight w:val="none"/>
              </w:rPr>
              <w:t>，</w:t>
            </w:r>
            <w:r>
              <w:rPr>
                <w:rStyle w:val="17"/>
                <w:rFonts w:hint="default" w:ascii="Times New Roman" w:hAnsi="Times New Roman" w:eastAsia="宋体" w:cs="Times New Roman"/>
                <w:bCs/>
                <w:color w:val="auto"/>
                <w:sz w:val="21"/>
                <w:szCs w:val="21"/>
                <w:highlight w:val="none"/>
                <w:lang w:val="en-US" w:eastAsia="zh-CN"/>
              </w:rPr>
              <w:t>有相应的迎检方案，有</w:t>
            </w:r>
            <w:r>
              <w:rPr>
                <w:rStyle w:val="17"/>
                <w:rFonts w:hint="default" w:ascii="Times New Roman" w:hAnsi="Times New Roman" w:cs="Times New Roman"/>
                <w:bCs/>
                <w:color w:val="auto"/>
                <w:sz w:val="21"/>
                <w:szCs w:val="21"/>
                <w:highlight w:val="none"/>
                <w:lang w:val="en-US" w:eastAsia="zh-CN"/>
              </w:rPr>
              <w:t>完善</w:t>
            </w:r>
            <w:r>
              <w:rPr>
                <w:rStyle w:val="17"/>
                <w:rFonts w:hint="default" w:ascii="Times New Roman" w:hAnsi="Times New Roman" w:eastAsia="宋体" w:cs="Times New Roman"/>
                <w:bCs/>
                <w:color w:val="auto"/>
                <w:sz w:val="21"/>
                <w:szCs w:val="21"/>
                <w:highlight w:val="none"/>
                <w:lang w:val="en-US" w:eastAsia="zh-CN"/>
              </w:rPr>
              <w:t>的</w:t>
            </w:r>
            <w:r>
              <w:rPr>
                <w:rStyle w:val="17"/>
                <w:rFonts w:hint="default" w:ascii="Times New Roman" w:hAnsi="Times New Roman" w:cs="Times New Roman"/>
                <w:bCs/>
                <w:color w:val="auto"/>
                <w:sz w:val="21"/>
                <w:szCs w:val="21"/>
                <w:highlight w:val="none"/>
                <w:lang w:val="en-US" w:eastAsia="zh-CN"/>
              </w:rPr>
              <w:t>各类</w:t>
            </w:r>
            <w:r>
              <w:rPr>
                <w:rStyle w:val="17"/>
                <w:rFonts w:hint="default" w:ascii="Times New Roman" w:hAnsi="Times New Roman" w:eastAsia="宋体" w:cs="Times New Roman"/>
                <w:bCs/>
                <w:color w:val="auto"/>
                <w:sz w:val="21"/>
                <w:szCs w:val="21"/>
                <w:highlight w:val="none"/>
                <w:lang w:val="en-US" w:eastAsia="zh-CN"/>
              </w:rPr>
              <w:t>迎接协助医院完成相关部门的检查工作，</w:t>
            </w:r>
            <w:r>
              <w:rPr>
                <w:rStyle w:val="17"/>
                <w:rFonts w:hint="default" w:ascii="Times New Roman" w:hAnsi="Times New Roman" w:eastAsia="宋体" w:cs="Times New Roman"/>
                <w:bCs/>
                <w:color w:val="auto"/>
                <w:sz w:val="21"/>
                <w:szCs w:val="21"/>
                <w:highlight w:val="none"/>
              </w:rPr>
              <w:t>能够充分保证在日常及重大活动、节假日、突发事件时正常运行。</w:t>
            </w:r>
          </w:p>
          <w:p>
            <w:pPr>
              <w:pageBreakBefore w:val="0"/>
              <w:kinsoku/>
              <w:wordWrap/>
              <w:overflowPunct/>
              <w:topLinePunct w:val="0"/>
              <w:autoSpaceDE/>
              <w:autoSpaceDN/>
              <w:bidi w:val="0"/>
              <w:spacing w:line="360" w:lineRule="auto"/>
              <w:ind w:firstLine="420" w:firstLineChars="200"/>
              <w:rPr>
                <w:rStyle w:val="17"/>
                <w:rFonts w:hint="default" w:ascii="Times New Roman" w:hAnsi="Times New Roman" w:eastAsia="宋体" w:cs="Times New Roman"/>
                <w:bCs/>
                <w:color w:val="auto"/>
                <w:sz w:val="21"/>
                <w:szCs w:val="21"/>
                <w:highlight w:val="none"/>
              </w:rPr>
            </w:pPr>
            <w:r>
              <w:rPr>
                <w:rStyle w:val="19"/>
                <w:rFonts w:hint="default" w:ascii="Times New Roman" w:hAnsi="Times New Roman" w:eastAsia="Calibri" w:cs="Times New Roman"/>
                <w:color w:val="auto"/>
                <w:sz w:val="21"/>
                <w:szCs w:val="21"/>
                <w:highlight w:val="none"/>
              </w:rPr>
              <w:t>备注：本项内容投标文件中未提供的，得0分。</w:t>
            </w:r>
          </w:p>
        </w:tc>
        <w:tc>
          <w:tcPr>
            <w:tcW w:w="1406" w:type="dxa"/>
            <w:vAlign w:val="center"/>
          </w:tcPr>
          <w:p>
            <w:pPr>
              <w:widowControl/>
              <w:snapToGrid w:val="0"/>
              <w:spacing w:line="360" w:lineRule="atLeast"/>
              <w:jc w:val="center"/>
              <w:rPr>
                <w:rStyle w:val="19"/>
                <w:rFonts w:hint="default" w:ascii="Times New Roman" w:hAnsi="Times New Roman" w:eastAsia="Calibri" w:cs="Times New Roman"/>
                <w:b/>
                <w:color w:val="auto"/>
                <w:sz w:val="21"/>
                <w:szCs w:val="21"/>
                <w:highlight w:val="none"/>
              </w:rPr>
            </w:pPr>
            <w:r>
              <w:rPr>
                <w:rFonts w:hint="default" w:ascii="Times New Roman" w:hAnsi="Times New Roman" w:eastAsia="宋体" w:cs="Times New Roman"/>
                <w:b/>
                <w:bCs/>
                <w:color w:val="auto"/>
                <w:sz w:val="21"/>
                <w:szCs w:val="21"/>
                <w:highlight w:val="none"/>
              </w:rPr>
              <w:t>安全防护制度及应急计划分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95" w:type="dxa"/>
            <w:vMerge w:val="restart"/>
            <w:vAlign w:val="center"/>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3</w:t>
            </w:r>
          </w:p>
        </w:tc>
        <w:tc>
          <w:tcPr>
            <w:tcW w:w="891" w:type="dxa"/>
            <w:vMerge w:val="restart"/>
            <w:vAlign w:val="center"/>
          </w:tcPr>
          <w:p>
            <w:pPr>
              <w:widowControl/>
              <w:snapToGrid w:val="0"/>
              <w:spacing w:line="360" w:lineRule="atLeast"/>
              <w:jc w:val="center"/>
              <w:rPr>
                <w:rFonts w:hint="default" w:ascii="Times New Roman" w:hAnsi="Times New Roman" w:cs="Times New Roman"/>
                <w:b/>
                <w:color w:val="auto"/>
                <w:spacing w:val="-2"/>
                <w:sz w:val="21"/>
                <w:szCs w:val="21"/>
                <w:highlight w:val="none"/>
              </w:rPr>
            </w:pPr>
            <w:r>
              <w:rPr>
                <w:rFonts w:hint="default" w:ascii="Times New Roman" w:hAnsi="Times New Roman" w:cs="Times New Roman"/>
                <w:b/>
                <w:color w:val="auto"/>
                <w:spacing w:val="-2"/>
                <w:sz w:val="21"/>
                <w:szCs w:val="21"/>
                <w:highlight w:val="none"/>
                <w:u w:val="none"/>
              </w:rPr>
              <w:t>商务分（</w:t>
            </w:r>
            <w:r>
              <w:rPr>
                <w:rFonts w:hint="eastAsia" w:cs="Times New Roman"/>
                <w:b/>
                <w:color w:val="auto"/>
                <w:spacing w:val="-2"/>
                <w:sz w:val="21"/>
                <w:szCs w:val="21"/>
                <w:highlight w:val="none"/>
                <w:u w:val="none"/>
                <w:lang w:val="en-US" w:eastAsia="zh-CN"/>
              </w:rPr>
              <w:t>35</w:t>
            </w:r>
            <w:r>
              <w:rPr>
                <w:rFonts w:hint="default" w:ascii="Times New Roman" w:hAnsi="Times New Roman" w:cs="Times New Roman"/>
                <w:b/>
                <w:color w:val="auto"/>
                <w:spacing w:val="-2"/>
                <w:sz w:val="21"/>
                <w:szCs w:val="21"/>
                <w:highlight w:val="none"/>
                <w:u w:val="none"/>
              </w:rPr>
              <w:t>分）</w:t>
            </w:r>
          </w:p>
        </w:tc>
        <w:tc>
          <w:tcPr>
            <w:tcW w:w="1205" w:type="dxa"/>
            <w:vAlign w:val="center"/>
          </w:tcPr>
          <w:p>
            <w:pPr>
              <w:adjustRightInd w:val="0"/>
              <w:snapToGrid w:val="0"/>
              <w:spacing w:line="360" w:lineRule="atLeast"/>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企业</w:t>
            </w:r>
            <w:r>
              <w:rPr>
                <w:rFonts w:hint="eastAsia" w:cs="Times New Roman"/>
                <w:b/>
                <w:bCs/>
                <w:color w:val="auto"/>
                <w:sz w:val="21"/>
                <w:szCs w:val="21"/>
                <w:highlight w:val="none"/>
                <w:lang w:val="en-US" w:eastAsia="zh-CN"/>
              </w:rPr>
              <w:t>及人员</w:t>
            </w:r>
            <w:r>
              <w:rPr>
                <w:rFonts w:hint="default" w:ascii="Times New Roman" w:hAnsi="Times New Roman" w:cs="Times New Roman"/>
                <w:b/>
                <w:bCs/>
                <w:color w:val="auto"/>
                <w:sz w:val="21"/>
                <w:szCs w:val="21"/>
                <w:highlight w:val="none"/>
                <w:lang w:eastAsia="zh-CN"/>
              </w:rPr>
              <w:t>综合实力</w:t>
            </w:r>
            <w:r>
              <w:rPr>
                <w:rFonts w:hint="default" w:ascii="Times New Roman" w:hAnsi="Times New Roman" w:cs="Times New Roman"/>
                <w:b/>
                <w:bCs/>
                <w:color w:val="auto"/>
                <w:sz w:val="21"/>
                <w:szCs w:val="21"/>
                <w:highlight w:val="none"/>
              </w:rPr>
              <w:t>分（满分</w:t>
            </w:r>
            <w:r>
              <w:rPr>
                <w:rFonts w:hint="eastAsia" w:cs="Times New Roman"/>
                <w:b/>
                <w:bCs/>
                <w:color w:val="auto"/>
                <w:sz w:val="21"/>
                <w:szCs w:val="21"/>
                <w:highlight w:val="none"/>
                <w:lang w:val="en-US" w:eastAsia="zh-CN"/>
              </w:rPr>
              <w:t>20</w:t>
            </w:r>
            <w:r>
              <w:rPr>
                <w:rFonts w:hint="default" w:ascii="Times New Roman" w:hAnsi="Times New Roman" w:cs="Times New Roman"/>
                <w:b/>
                <w:bCs/>
                <w:color w:val="auto"/>
                <w:sz w:val="21"/>
                <w:szCs w:val="21"/>
                <w:highlight w:val="none"/>
              </w:rPr>
              <w:t>分）</w:t>
            </w:r>
          </w:p>
        </w:tc>
        <w:tc>
          <w:tcPr>
            <w:tcW w:w="4622" w:type="dxa"/>
            <w:vAlign w:val="center"/>
          </w:tcPr>
          <w:p>
            <w:pPr>
              <w:pageBreakBefore w:val="0"/>
              <w:numPr>
                <w:ilvl w:val="0"/>
                <w:numId w:val="3"/>
              </w:numPr>
              <w:kinsoku/>
              <w:wordWrap/>
              <w:overflowPunct/>
              <w:topLinePunct w:val="0"/>
              <w:autoSpaceDE/>
              <w:autoSpaceDN/>
              <w:bidi w:val="0"/>
              <w:spacing w:line="360" w:lineRule="auto"/>
              <w:ind w:firstLine="420" w:firstLineChars="200"/>
              <w:rPr>
                <w:rFonts w:hint="default"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投标</w:t>
            </w:r>
            <w:r>
              <w:rPr>
                <w:rFonts w:hint="default" w:ascii="Times New Roman" w:hAnsi="Times New Roman" w:eastAsia="宋体" w:cs="Times New Roman"/>
                <w:bCs/>
                <w:color w:val="auto"/>
                <w:spacing w:val="0"/>
                <w:kern w:val="2"/>
                <w:sz w:val="21"/>
                <w:szCs w:val="21"/>
                <w:highlight w:val="none"/>
                <w:lang w:val="en-US" w:eastAsia="zh-CN" w:bidi="ar-SA"/>
              </w:rPr>
              <w:t>企业</w:t>
            </w:r>
            <w:r>
              <w:rPr>
                <w:rFonts w:hint="eastAsia" w:cs="Times New Roman"/>
                <w:bCs/>
                <w:color w:val="auto"/>
                <w:spacing w:val="0"/>
                <w:kern w:val="2"/>
                <w:sz w:val="21"/>
                <w:szCs w:val="21"/>
                <w:highlight w:val="none"/>
                <w:lang w:val="en-US" w:eastAsia="zh-CN" w:bidi="ar-SA"/>
              </w:rPr>
              <w:t>具有</w:t>
            </w:r>
            <w:r>
              <w:rPr>
                <w:rFonts w:hint="default" w:ascii="Times New Roman" w:hAnsi="Times New Roman" w:eastAsia="宋体" w:cs="Times New Roman"/>
                <w:bCs/>
                <w:color w:val="auto"/>
                <w:spacing w:val="0"/>
                <w:kern w:val="2"/>
                <w:sz w:val="21"/>
                <w:szCs w:val="21"/>
                <w:highlight w:val="none"/>
                <w:lang w:val="en-US" w:eastAsia="zh-CN" w:bidi="ar-SA"/>
              </w:rPr>
              <w:t>环保设施运营维护服务企业资质证书</w:t>
            </w:r>
            <w:r>
              <w:rPr>
                <w:rFonts w:hint="eastAsia" w:cs="Times New Roman"/>
                <w:bCs/>
                <w:color w:val="auto"/>
                <w:spacing w:val="0"/>
                <w:kern w:val="2"/>
                <w:sz w:val="21"/>
                <w:szCs w:val="21"/>
                <w:highlight w:val="none"/>
                <w:lang w:val="en-US" w:eastAsia="zh-CN" w:bidi="ar-SA"/>
              </w:rPr>
              <w:t>（</w:t>
            </w:r>
            <w:r>
              <w:rPr>
                <w:rFonts w:hint="default" w:ascii="Times New Roman" w:hAnsi="Times New Roman" w:eastAsia="宋体" w:cs="Times New Roman"/>
                <w:bCs/>
                <w:color w:val="auto"/>
                <w:spacing w:val="0"/>
                <w:kern w:val="2"/>
                <w:sz w:val="21"/>
                <w:szCs w:val="21"/>
                <w:highlight w:val="none"/>
                <w:lang w:val="en-US" w:eastAsia="zh-CN" w:bidi="ar-SA"/>
              </w:rPr>
              <w:t>一级</w:t>
            </w:r>
            <w:r>
              <w:rPr>
                <w:rFonts w:hint="eastAsia" w:cs="Times New Roman"/>
                <w:bCs/>
                <w:color w:val="auto"/>
                <w:spacing w:val="0"/>
                <w:kern w:val="2"/>
                <w:sz w:val="21"/>
                <w:szCs w:val="21"/>
                <w:highlight w:val="none"/>
                <w:lang w:val="en-US" w:eastAsia="zh-CN" w:bidi="ar-SA"/>
              </w:rPr>
              <w:t>）的，</w:t>
            </w:r>
            <w:r>
              <w:rPr>
                <w:rFonts w:hint="default" w:ascii="Times New Roman" w:hAnsi="Times New Roman" w:eastAsia="宋体" w:cs="Times New Roman"/>
                <w:bCs/>
                <w:color w:val="auto"/>
                <w:sz w:val="21"/>
                <w:szCs w:val="21"/>
                <w:highlight w:val="none"/>
              </w:rPr>
              <w:t>得</w:t>
            </w:r>
            <w:r>
              <w:rPr>
                <w:rFonts w:hint="eastAsia" w:cs="Times New Roman"/>
                <w:bCs/>
                <w:color w:val="auto"/>
                <w:sz w:val="21"/>
                <w:szCs w:val="21"/>
                <w:highlight w:val="none"/>
                <w:lang w:val="en-US" w:eastAsia="zh-CN"/>
              </w:rPr>
              <w:t>5</w:t>
            </w:r>
            <w:r>
              <w:rPr>
                <w:rFonts w:hint="default" w:ascii="Times New Roman" w:hAnsi="Times New Roman" w:eastAsia="宋体" w:cs="Times New Roman"/>
                <w:bCs/>
                <w:color w:val="auto"/>
                <w:sz w:val="21"/>
                <w:szCs w:val="21"/>
                <w:highlight w:val="none"/>
              </w:rPr>
              <w:t>分</w:t>
            </w:r>
            <w:r>
              <w:rPr>
                <w:rFonts w:hint="default" w:ascii="Times New Roman" w:hAnsi="Times New Roman" w:eastAsia="宋体" w:cs="Times New Roman"/>
                <w:bCs/>
                <w:color w:val="auto"/>
                <w:spacing w:val="0"/>
                <w:kern w:val="2"/>
                <w:sz w:val="21"/>
                <w:szCs w:val="21"/>
                <w:highlight w:val="none"/>
                <w:lang w:val="en-US" w:eastAsia="zh-CN" w:bidi="ar-SA"/>
              </w:rPr>
              <w:t>，</w:t>
            </w:r>
            <w:r>
              <w:rPr>
                <w:rFonts w:hint="eastAsia" w:ascii="Times New Roman" w:hAnsi="Times New Roman" w:eastAsia="宋体" w:cs="Times New Roman"/>
                <w:bCs/>
                <w:color w:val="auto"/>
                <w:spacing w:val="0"/>
                <w:kern w:val="2"/>
                <w:sz w:val="21"/>
                <w:szCs w:val="21"/>
                <w:highlight w:val="none"/>
                <w:lang w:val="en-US" w:eastAsia="zh-CN" w:bidi="ar-SA"/>
              </w:rPr>
              <w:t>二级的得</w:t>
            </w:r>
            <w:r>
              <w:rPr>
                <w:rFonts w:hint="eastAsia" w:cs="Times New Roman"/>
                <w:bCs/>
                <w:color w:val="auto"/>
                <w:spacing w:val="0"/>
                <w:kern w:val="2"/>
                <w:sz w:val="21"/>
                <w:szCs w:val="21"/>
                <w:highlight w:val="none"/>
                <w:lang w:val="en-US" w:eastAsia="zh-CN" w:bidi="ar-SA"/>
              </w:rPr>
              <w:t>2</w:t>
            </w:r>
            <w:r>
              <w:rPr>
                <w:rFonts w:hint="eastAsia" w:ascii="Times New Roman" w:hAnsi="Times New Roman" w:eastAsia="宋体" w:cs="Times New Roman"/>
                <w:bCs/>
                <w:color w:val="auto"/>
                <w:spacing w:val="0"/>
                <w:kern w:val="2"/>
                <w:sz w:val="21"/>
                <w:szCs w:val="21"/>
                <w:highlight w:val="none"/>
                <w:lang w:val="en-US" w:eastAsia="zh-CN" w:bidi="ar-SA"/>
              </w:rPr>
              <w:t>分，</w:t>
            </w:r>
            <w:r>
              <w:rPr>
                <w:rFonts w:hint="eastAsia" w:cs="Times New Roman"/>
                <w:bCs/>
                <w:color w:val="auto"/>
                <w:spacing w:val="0"/>
                <w:kern w:val="2"/>
                <w:sz w:val="21"/>
                <w:szCs w:val="21"/>
                <w:highlight w:val="none"/>
                <w:lang w:val="en-US" w:eastAsia="zh-CN" w:bidi="ar-SA"/>
              </w:rPr>
              <w:t>满分5分。</w:t>
            </w:r>
            <w:r>
              <w:rPr>
                <w:rFonts w:hint="default" w:ascii="Times New Roman" w:hAnsi="Times New Roman" w:eastAsia="宋体" w:cs="Times New Roman"/>
                <w:bCs/>
                <w:color w:val="auto"/>
                <w:spacing w:val="0"/>
                <w:kern w:val="2"/>
                <w:sz w:val="21"/>
                <w:szCs w:val="21"/>
                <w:highlight w:val="none"/>
                <w:lang w:val="en-US" w:eastAsia="zh-CN" w:bidi="ar-SA"/>
              </w:rPr>
              <w:t>（提供证书复印件，否则不计分）</w:t>
            </w:r>
          </w:p>
          <w:p>
            <w:pPr>
              <w:pageBreakBefore w:val="0"/>
              <w:numPr>
                <w:ilvl w:val="0"/>
                <w:numId w:val="3"/>
              </w:numPr>
              <w:kinsoku/>
              <w:wordWrap/>
              <w:overflowPunct/>
              <w:topLinePunct w:val="0"/>
              <w:autoSpaceDE/>
              <w:autoSpaceDN/>
              <w:bidi w:val="0"/>
              <w:spacing w:line="360" w:lineRule="auto"/>
              <w:ind w:firstLine="420" w:firstLineChars="200"/>
              <w:rPr>
                <w:rFonts w:hint="default"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投标</w:t>
            </w:r>
            <w:r>
              <w:rPr>
                <w:rFonts w:hint="default" w:ascii="Times New Roman" w:hAnsi="Times New Roman" w:eastAsia="宋体" w:cs="Times New Roman"/>
                <w:bCs/>
                <w:color w:val="auto"/>
                <w:spacing w:val="0"/>
                <w:kern w:val="2"/>
                <w:sz w:val="21"/>
                <w:szCs w:val="21"/>
                <w:highlight w:val="none"/>
                <w:lang w:val="en-US" w:eastAsia="zh-CN" w:bidi="ar-SA"/>
              </w:rPr>
              <w:t>企业</w:t>
            </w:r>
            <w:r>
              <w:rPr>
                <w:rFonts w:hint="eastAsia" w:cs="Times New Roman"/>
                <w:bCs/>
                <w:color w:val="auto"/>
                <w:spacing w:val="0"/>
                <w:kern w:val="2"/>
                <w:sz w:val="21"/>
                <w:szCs w:val="21"/>
                <w:highlight w:val="none"/>
                <w:lang w:val="en-US" w:eastAsia="zh-CN" w:bidi="ar-SA"/>
              </w:rPr>
              <w:t>具有</w:t>
            </w:r>
            <w:r>
              <w:rPr>
                <w:rFonts w:hint="default" w:ascii="Times New Roman" w:hAnsi="Times New Roman" w:eastAsia="宋体" w:cs="Times New Roman"/>
                <w:bCs/>
                <w:color w:val="auto"/>
                <w:spacing w:val="0"/>
                <w:kern w:val="2"/>
                <w:sz w:val="21"/>
                <w:szCs w:val="21"/>
                <w:highlight w:val="none"/>
                <w:lang w:val="en-US" w:eastAsia="zh-CN" w:bidi="ar-SA"/>
              </w:rPr>
              <w:t>有限空间作业服务企业资质证书</w:t>
            </w:r>
            <w:r>
              <w:rPr>
                <w:rFonts w:hint="eastAsia" w:cs="Times New Roman"/>
                <w:bCs/>
                <w:color w:val="auto"/>
                <w:spacing w:val="0"/>
                <w:kern w:val="2"/>
                <w:sz w:val="21"/>
                <w:szCs w:val="21"/>
                <w:highlight w:val="none"/>
                <w:lang w:val="en-US" w:eastAsia="zh-CN" w:bidi="ar-SA"/>
              </w:rPr>
              <w:t>的，</w:t>
            </w:r>
            <w:r>
              <w:rPr>
                <w:rFonts w:hint="default" w:ascii="Times New Roman" w:hAnsi="Times New Roman" w:eastAsia="宋体" w:cs="Times New Roman"/>
                <w:bCs/>
                <w:color w:val="auto"/>
                <w:sz w:val="21"/>
                <w:szCs w:val="21"/>
                <w:highlight w:val="none"/>
              </w:rPr>
              <w:t>得</w:t>
            </w:r>
            <w:r>
              <w:rPr>
                <w:rFonts w:hint="eastAsia"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分</w:t>
            </w:r>
            <w:r>
              <w:rPr>
                <w:rFonts w:hint="default" w:ascii="Times New Roman" w:hAnsi="Times New Roman" w:eastAsia="宋体" w:cs="Times New Roman"/>
                <w:bCs/>
                <w:color w:val="auto"/>
                <w:spacing w:val="0"/>
                <w:kern w:val="2"/>
                <w:sz w:val="21"/>
                <w:szCs w:val="21"/>
                <w:highlight w:val="none"/>
                <w:lang w:val="en-US" w:eastAsia="zh-CN" w:bidi="ar-SA"/>
              </w:rPr>
              <w:t>，满分</w:t>
            </w:r>
            <w:r>
              <w:rPr>
                <w:rFonts w:hint="eastAsia" w:cs="Times New Roman"/>
                <w:bCs/>
                <w:color w:val="auto"/>
                <w:spacing w:val="0"/>
                <w:kern w:val="2"/>
                <w:sz w:val="21"/>
                <w:szCs w:val="21"/>
                <w:highlight w:val="none"/>
                <w:lang w:val="en-US" w:eastAsia="zh-CN" w:bidi="ar-SA"/>
              </w:rPr>
              <w:t>4</w:t>
            </w:r>
            <w:r>
              <w:rPr>
                <w:rFonts w:hint="default" w:ascii="Times New Roman" w:hAnsi="Times New Roman" w:eastAsia="宋体" w:cs="Times New Roman"/>
                <w:bCs/>
                <w:color w:val="auto"/>
                <w:spacing w:val="0"/>
                <w:kern w:val="2"/>
                <w:sz w:val="21"/>
                <w:szCs w:val="21"/>
                <w:highlight w:val="none"/>
                <w:lang w:val="en-US" w:eastAsia="zh-CN" w:bidi="ar-SA"/>
              </w:rPr>
              <w:t>分。（提供证书复印件，否则不计分）</w:t>
            </w:r>
          </w:p>
          <w:p>
            <w:pPr>
              <w:pageBreakBefore w:val="0"/>
              <w:numPr>
                <w:ilvl w:val="0"/>
                <w:numId w:val="3"/>
              </w:numPr>
              <w:kinsoku/>
              <w:wordWrap/>
              <w:overflowPunct/>
              <w:topLinePunct w:val="0"/>
              <w:autoSpaceDE/>
              <w:autoSpaceDN/>
              <w:bidi w:val="0"/>
              <w:spacing w:line="360" w:lineRule="auto"/>
              <w:ind w:firstLine="420" w:firstLineChars="200"/>
              <w:rPr>
                <w:rFonts w:hint="default"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spacing w:val="0"/>
                <w:kern w:val="2"/>
                <w:sz w:val="21"/>
                <w:szCs w:val="21"/>
                <w:highlight w:val="none"/>
                <w:lang w:val="en-US" w:eastAsia="zh-CN" w:bidi="ar-SA"/>
              </w:rPr>
              <w:t>拟投入的项目人员具有</w:t>
            </w:r>
            <w:r>
              <w:rPr>
                <w:rFonts w:hint="eastAsia" w:cs="Times New Roman"/>
                <w:bCs/>
                <w:color w:val="auto"/>
                <w:spacing w:val="0"/>
                <w:kern w:val="2"/>
                <w:sz w:val="21"/>
                <w:szCs w:val="21"/>
                <w:highlight w:val="none"/>
                <w:lang w:val="en-US" w:eastAsia="zh-CN" w:bidi="ar-SA"/>
              </w:rPr>
              <w:t>省级</w:t>
            </w:r>
            <w:r>
              <w:rPr>
                <w:rFonts w:hint="default" w:ascii="Times New Roman" w:hAnsi="Times New Roman" w:eastAsia="宋体" w:cs="Times New Roman"/>
                <w:bCs/>
                <w:color w:val="auto"/>
                <w:spacing w:val="0"/>
                <w:kern w:val="2"/>
                <w:sz w:val="21"/>
                <w:szCs w:val="21"/>
                <w:highlight w:val="none"/>
                <w:lang w:val="en-US" w:eastAsia="zh-CN" w:bidi="ar-SA"/>
              </w:rPr>
              <w:t>环境保护产业协会</w:t>
            </w:r>
            <w:r>
              <w:rPr>
                <w:rFonts w:hint="eastAsia" w:cs="Times New Roman"/>
                <w:bCs/>
                <w:color w:val="auto"/>
                <w:spacing w:val="0"/>
                <w:kern w:val="2"/>
                <w:sz w:val="21"/>
                <w:szCs w:val="21"/>
                <w:highlight w:val="none"/>
                <w:lang w:val="en-US" w:eastAsia="zh-CN" w:bidi="ar-SA"/>
              </w:rPr>
              <w:t>发布</w:t>
            </w:r>
            <w:r>
              <w:rPr>
                <w:rFonts w:hint="default" w:ascii="Times New Roman" w:hAnsi="Times New Roman" w:eastAsia="宋体" w:cs="Times New Roman"/>
                <w:bCs/>
                <w:color w:val="auto"/>
                <w:spacing w:val="0"/>
                <w:kern w:val="2"/>
                <w:sz w:val="21"/>
                <w:szCs w:val="21"/>
                <w:highlight w:val="none"/>
                <w:lang w:val="en-US" w:eastAsia="zh-CN" w:bidi="ar-SA"/>
              </w:rPr>
              <w:t>医疗废水和医疗废物处理工培训合格证书</w:t>
            </w:r>
            <w:r>
              <w:rPr>
                <w:rFonts w:hint="eastAsia" w:cs="Times New Roman"/>
                <w:bCs/>
                <w:color w:val="auto"/>
                <w:spacing w:val="0"/>
                <w:kern w:val="2"/>
                <w:sz w:val="21"/>
                <w:szCs w:val="21"/>
                <w:highlight w:val="none"/>
                <w:lang w:val="en-US" w:eastAsia="zh-CN" w:bidi="ar-SA"/>
              </w:rPr>
              <w:t>（医疗废水和医疗废物处理工）</w:t>
            </w:r>
            <w:r>
              <w:rPr>
                <w:rFonts w:hint="default" w:ascii="Times New Roman" w:hAnsi="Times New Roman" w:eastAsia="宋体" w:cs="Times New Roman"/>
                <w:bCs/>
                <w:color w:val="auto"/>
                <w:spacing w:val="0"/>
                <w:kern w:val="2"/>
                <w:sz w:val="21"/>
                <w:szCs w:val="21"/>
                <w:highlight w:val="none"/>
                <w:lang w:val="en-US" w:eastAsia="zh-CN" w:bidi="ar-SA"/>
              </w:rPr>
              <w:t>的每个得2分，满分</w:t>
            </w:r>
            <w:r>
              <w:rPr>
                <w:rFonts w:hint="eastAsia" w:cs="Times New Roman"/>
                <w:bCs/>
                <w:color w:val="auto"/>
                <w:spacing w:val="0"/>
                <w:kern w:val="2"/>
                <w:sz w:val="21"/>
                <w:szCs w:val="21"/>
                <w:highlight w:val="none"/>
                <w:lang w:val="en-US" w:eastAsia="zh-CN" w:bidi="ar-SA"/>
              </w:rPr>
              <w:t>6</w:t>
            </w:r>
            <w:r>
              <w:rPr>
                <w:rFonts w:hint="default" w:ascii="Times New Roman" w:hAnsi="Times New Roman" w:eastAsia="宋体" w:cs="Times New Roman"/>
                <w:bCs/>
                <w:color w:val="auto"/>
                <w:spacing w:val="0"/>
                <w:kern w:val="2"/>
                <w:sz w:val="21"/>
                <w:szCs w:val="21"/>
                <w:highlight w:val="none"/>
                <w:lang w:val="en-US" w:eastAsia="zh-CN" w:bidi="ar-SA"/>
              </w:rPr>
              <w:t>分</w:t>
            </w:r>
          </w:p>
          <w:p>
            <w:pPr>
              <w:pageBreakBefore w:val="0"/>
              <w:numPr>
                <w:ilvl w:val="0"/>
                <w:numId w:val="3"/>
              </w:numPr>
              <w:kinsoku/>
              <w:wordWrap/>
              <w:overflowPunct/>
              <w:topLinePunct w:val="0"/>
              <w:autoSpaceDE/>
              <w:autoSpaceDN/>
              <w:bidi w:val="0"/>
              <w:spacing w:line="360" w:lineRule="auto"/>
              <w:ind w:firstLine="420" w:firstLineChars="200"/>
              <w:rPr>
                <w:rFonts w:hint="default"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u w:val="none"/>
                <w:lang w:val="en-US" w:eastAsia="zh-CN" w:bidi="ar-SA"/>
              </w:rPr>
              <w:t>拟投入的项目人员</w:t>
            </w:r>
            <w:r>
              <w:rPr>
                <w:rFonts w:hint="default" w:ascii="Times New Roman" w:hAnsi="Times New Roman" w:eastAsia="宋体" w:cs="Times New Roman"/>
                <w:bCs/>
                <w:color w:val="auto"/>
                <w:sz w:val="21"/>
                <w:szCs w:val="21"/>
                <w:highlight w:val="none"/>
              </w:rPr>
              <w:t>具有安全生产知识和管理能力考核合格证</w:t>
            </w:r>
            <w:r>
              <w:rPr>
                <w:rFonts w:hint="eastAsia" w:ascii="Times New Roman" w:hAnsi="Times New Roman" w:eastAsia="宋体" w:cs="Times New Roman"/>
                <w:bCs/>
                <w:color w:val="auto"/>
                <w:sz w:val="21"/>
                <w:szCs w:val="21"/>
                <w:highlight w:val="none"/>
                <w:lang w:eastAsia="zh-CN"/>
              </w:rPr>
              <w:t>（危险化学品经营单位</w:t>
            </w:r>
            <w:r>
              <w:rPr>
                <w:rFonts w:hint="eastAsia"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eastAsia="zh-CN"/>
              </w:rPr>
              <w:t>主要负责人）</w:t>
            </w:r>
            <w:r>
              <w:rPr>
                <w:rFonts w:hint="eastAsia" w:ascii="Times New Roman" w:hAnsi="Times New Roman" w:eastAsia="宋体" w:cs="Times New Roman"/>
                <w:bCs/>
                <w:color w:val="auto"/>
                <w:sz w:val="21"/>
                <w:szCs w:val="21"/>
                <w:highlight w:val="none"/>
                <w:lang w:val="en-US" w:eastAsia="zh-CN"/>
              </w:rPr>
              <w:t>的，每提供一个得</w:t>
            </w:r>
            <w:r>
              <w:rPr>
                <w:rFonts w:hint="eastAsia" w:cs="Times New Roman"/>
                <w:bCs/>
                <w:color w:val="auto"/>
                <w:sz w:val="21"/>
                <w:szCs w:val="21"/>
                <w:highlight w:val="none"/>
                <w:lang w:val="en-US" w:eastAsia="zh-CN"/>
              </w:rPr>
              <w:t>2</w:t>
            </w:r>
            <w:r>
              <w:rPr>
                <w:rFonts w:hint="eastAsia" w:ascii="Times New Roman" w:hAnsi="Times New Roman" w:eastAsia="宋体" w:cs="Times New Roman"/>
                <w:bCs/>
                <w:color w:val="auto"/>
                <w:sz w:val="21"/>
                <w:szCs w:val="21"/>
                <w:highlight w:val="none"/>
                <w:lang w:val="en-US" w:eastAsia="zh-CN"/>
              </w:rPr>
              <w:t>分，满分</w:t>
            </w:r>
            <w:r>
              <w:rPr>
                <w:rFonts w:hint="eastAsia" w:cs="Times New Roman"/>
                <w:bCs/>
                <w:color w:val="auto"/>
                <w:sz w:val="21"/>
                <w:szCs w:val="21"/>
                <w:highlight w:val="none"/>
                <w:lang w:val="en-US" w:eastAsia="zh-CN"/>
              </w:rPr>
              <w:t>2</w:t>
            </w:r>
            <w:r>
              <w:rPr>
                <w:rFonts w:hint="eastAsia" w:ascii="Times New Roman" w:hAnsi="Times New Roman" w:eastAsia="宋体" w:cs="Times New Roman"/>
                <w:bCs/>
                <w:color w:val="auto"/>
                <w:sz w:val="21"/>
                <w:szCs w:val="21"/>
                <w:highlight w:val="none"/>
                <w:lang w:val="en-US" w:eastAsia="zh-CN"/>
              </w:rPr>
              <w:t>分。</w:t>
            </w:r>
          </w:p>
          <w:p>
            <w:pPr>
              <w:pageBreakBefore w:val="0"/>
              <w:numPr>
                <w:ilvl w:val="0"/>
                <w:numId w:val="3"/>
              </w:numPr>
              <w:kinsoku/>
              <w:wordWrap/>
              <w:overflowPunct/>
              <w:topLinePunct w:val="0"/>
              <w:autoSpaceDE/>
              <w:autoSpaceDN/>
              <w:bidi w:val="0"/>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运营团队的</w:t>
            </w:r>
            <w:r>
              <w:rPr>
                <w:rFonts w:hint="default" w:ascii="Times New Roman" w:hAnsi="Times New Roman" w:cs="Times New Roman"/>
                <w:bCs/>
                <w:color w:val="auto"/>
                <w:spacing w:val="0"/>
                <w:kern w:val="2"/>
                <w:sz w:val="21"/>
                <w:szCs w:val="21"/>
                <w:highlight w:val="none"/>
                <w:lang w:val="en-US" w:eastAsia="zh-CN" w:bidi="ar-SA"/>
              </w:rPr>
              <w:t>操作</w:t>
            </w:r>
            <w:r>
              <w:rPr>
                <w:rFonts w:hint="default" w:ascii="Times New Roman" w:hAnsi="Times New Roman" w:eastAsia="宋体" w:cs="Times New Roman"/>
                <w:bCs/>
                <w:color w:val="auto"/>
                <w:spacing w:val="0"/>
                <w:kern w:val="2"/>
                <w:sz w:val="21"/>
                <w:szCs w:val="21"/>
                <w:highlight w:val="none"/>
                <w:lang w:val="en-US" w:eastAsia="zh-CN" w:bidi="ar-SA"/>
              </w:rPr>
              <w:t>人员</w:t>
            </w:r>
            <w:r>
              <w:rPr>
                <w:rFonts w:hint="default" w:ascii="Times New Roman" w:hAnsi="Times New Roman" w:eastAsia="宋体" w:cs="Times New Roman"/>
                <w:bCs/>
                <w:color w:val="auto"/>
                <w:sz w:val="21"/>
                <w:szCs w:val="21"/>
                <w:highlight w:val="none"/>
              </w:rPr>
              <w:t>具有地下有限空间监护作业（有限空间作业/高级）的，每提供一个得</w:t>
            </w:r>
            <w:r>
              <w:rPr>
                <w:rFonts w:hint="eastAsia" w:cs="Times New Roman"/>
                <w:bCs/>
                <w:color w:val="auto"/>
                <w:sz w:val="21"/>
                <w:szCs w:val="21"/>
                <w:highlight w:val="none"/>
                <w:lang w:val="en-US" w:eastAsia="zh-CN"/>
              </w:rPr>
              <w:t>1.5</w:t>
            </w:r>
            <w:r>
              <w:rPr>
                <w:rFonts w:hint="default" w:ascii="Times New Roman" w:hAnsi="Times New Roman" w:eastAsia="宋体" w:cs="Times New Roman"/>
                <w:bCs/>
                <w:color w:val="auto"/>
                <w:sz w:val="21"/>
                <w:szCs w:val="21"/>
                <w:highlight w:val="none"/>
              </w:rPr>
              <w:t>分，满分</w:t>
            </w:r>
            <w:r>
              <w:rPr>
                <w:rFonts w:hint="eastAsia"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分。（须提供有效证书、身份证复印件，否则不得分</w:t>
            </w:r>
          </w:p>
          <w:p>
            <w:pPr>
              <w:pageBreakBefore w:val="0"/>
              <w:kinsoku/>
              <w:wordWrap/>
              <w:overflowPunct/>
              <w:topLinePunct w:val="0"/>
              <w:autoSpaceDE/>
              <w:autoSpaceDN/>
              <w:bidi w:val="0"/>
              <w:spacing w:line="360" w:lineRule="auto"/>
              <w:ind w:firstLine="210" w:firstLineChars="100"/>
              <w:rPr>
                <w:rFonts w:hint="default"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spacing w:val="0"/>
                <w:kern w:val="2"/>
                <w:sz w:val="21"/>
                <w:szCs w:val="21"/>
                <w:highlight w:val="none"/>
                <w:lang w:val="en-US" w:eastAsia="zh-CN" w:bidi="ar-SA"/>
              </w:rPr>
              <w:t>备注：以上提供的人员和证书</w:t>
            </w:r>
            <w:r>
              <w:rPr>
                <w:rFonts w:hint="default" w:ascii="Times New Roman" w:hAnsi="Times New Roman" w:cs="Times New Roman"/>
                <w:bCs/>
                <w:color w:val="auto"/>
                <w:spacing w:val="0"/>
                <w:kern w:val="2"/>
                <w:sz w:val="21"/>
                <w:szCs w:val="21"/>
                <w:highlight w:val="none"/>
                <w:lang w:val="en-US" w:eastAsia="zh-CN" w:bidi="ar-SA"/>
              </w:rPr>
              <w:t>可</w:t>
            </w:r>
            <w:r>
              <w:rPr>
                <w:rFonts w:hint="default" w:ascii="Times New Roman" w:hAnsi="Times New Roman" w:eastAsia="宋体" w:cs="Times New Roman"/>
                <w:bCs/>
                <w:color w:val="auto"/>
                <w:spacing w:val="0"/>
                <w:kern w:val="2"/>
                <w:sz w:val="21"/>
                <w:szCs w:val="21"/>
                <w:highlight w:val="none"/>
                <w:lang w:val="en-US" w:eastAsia="zh-CN" w:bidi="ar-SA"/>
              </w:rPr>
              <w:t>重复计算得分</w:t>
            </w:r>
            <w:r>
              <w:rPr>
                <w:rFonts w:hint="default" w:ascii="Times New Roman" w:hAnsi="Times New Roman" w:cs="Times New Roman"/>
                <w:bCs/>
                <w:color w:val="auto"/>
                <w:spacing w:val="0"/>
                <w:kern w:val="2"/>
                <w:sz w:val="21"/>
                <w:szCs w:val="21"/>
                <w:highlight w:val="none"/>
                <w:lang w:val="en-US" w:eastAsia="zh-CN" w:bidi="ar-SA"/>
              </w:rPr>
              <w:t>，</w:t>
            </w:r>
            <w:r>
              <w:rPr>
                <w:rFonts w:hint="default" w:ascii="Times New Roman" w:hAnsi="Times New Roman" w:eastAsia="宋体" w:cs="Times New Roman"/>
                <w:bCs/>
                <w:color w:val="auto"/>
                <w:spacing w:val="0"/>
                <w:kern w:val="2"/>
                <w:sz w:val="21"/>
                <w:szCs w:val="21"/>
                <w:highlight w:val="none"/>
                <w:lang w:val="en-US" w:eastAsia="zh-CN" w:bidi="ar-SA"/>
              </w:rPr>
              <w:t>须提供相关证明材料复印件，否则不得分</w:t>
            </w:r>
          </w:p>
        </w:tc>
        <w:tc>
          <w:tcPr>
            <w:tcW w:w="1406" w:type="dxa"/>
            <w:vAlign w:val="center"/>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395" w:type="dxa"/>
            <w:vMerge w:val="continue"/>
            <w:vAlign w:val="center"/>
          </w:tcPr>
          <w:p>
            <w:pPr>
              <w:adjustRightInd w:val="0"/>
              <w:snapToGrid w:val="0"/>
              <w:spacing w:line="360" w:lineRule="atLeast"/>
              <w:jc w:val="center"/>
              <w:textAlignment w:val="baseline"/>
              <w:rPr>
                <w:rFonts w:hint="default" w:ascii="Times New Roman" w:hAnsi="Times New Roman" w:cs="Times New Roman"/>
                <w:b/>
                <w:color w:val="auto"/>
                <w:sz w:val="21"/>
                <w:szCs w:val="21"/>
                <w:highlight w:val="none"/>
              </w:rPr>
            </w:pPr>
          </w:p>
        </w:tc>
        <w:tc>
          <w:tcPr>
            <w:tcW w:w="891" w:type="dxa"/>
            <w:vMerge w:val="continue"/>
            <w:vAlign w:val="center"/>
          </w:tcPr>
          <w:p>
            <w:pPr>
              <w:widowControl/>
              <w:snapToGrid w:val="0"/>
              <w:spacing w:line="360" w:lineRule="atLeast"/>
              <w:jc w:val="center"/>
              <w:rPr>
                <w:rFonts w:hint="default" w:ascii="Times New Roman" w:hAnsi="Times New Roman" w:cs="Times New Roman"/>
                <w:b/>
                <w:color w:val="auto"/>
                <w:spacing w:val="-2"/>
                <w:sz w:val="21"/>
                <w:szCs w:val="21"/>
                <w:highlight w:val="none"/>
              </w:rPr>
            </w:pPr>
          </w:p>
        </w:tc>
        <w:tc>
          <w:tcPr>
            <w:tcW w:w="1205" w:type="dxa"/>
            <w:vAlign w:val="center"/>
          </w:tcPr>
          <w:p>
            <w:pPr>
              <w:adjustRightInd w:val="0"/>
              <w:snapToGrid w:val="0"/>
              <w:spacing w:line="360" w:lineRule="atLeast"/>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业绩分（满分</w:t>
            </w:r>
            <w:r>
              <w:rPr>
                <w:rFonts w:hint="eastAsia" w:cs="Times New Roman"/>
                <w:b/>
                <w:bCs/>
                <w:color w:val="auto"/>
                <w:sz w:val="21"/>
                <w:szCs w:val="21"/>
                <w:highlight w:val="none"/>
                <w:lang w:val="en-US" w:eastAsia="zh-CN"/>
              </w:rPr>
              <w:t>15</w:t>
            </w:r>
            <w:r>
              <w:rPr>
                <w:rFonts w:hint="default" w:ascii="Times New Roman" w:hAnsi="Times New Roman" w:cs="Times New Roman"/>
                <w:b/>
                <w:bCs/>
                <w:color w:val="auto"/>
                <w:sz w:val="21"/>
                <w:szCs w:val="21"/>
                <w:highlight w:val="none"/>
                <w:lang w:val="en-US" w:eastAsia="zh-CN"/>
              </w:rPr>
              <w:t>）</w:t>
            </w:r>
          </w:p>
        </w:tc>
        <w:tc>
          <w:tcPr>
            <w:tcW w:w="4622" w:type="dxa"/>
            <w:vAlign w:val="center"/>
          </w:tcPr>
          <w:p>
            <w:pPr>
              <w:pStyle w:val="12"/>
              <w:spacing w:line="400" w:lineRule="exact"/>
              <w:ind w:firstLine="420" w:firstLineChars="200"/>
              <w:rPr>
                <w:rFonts w:hint="default" w:ascii="Times New Roman" w:hAnsi="Times New Roman"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2022年1月1日以来</w:t>
            </w:r>
            <w:r>
              <w:rPr>
                <w:rFonts w:hint="eastAsia" w:ascii="Times New Roman" w:hAnsi="Times New Roman" w:cs="Times New Roman"/>
                <w:bCs/>
                <w:color w:val="auto"/>
                <w:sz w:val="21"/>
                <w:szCs w:val="21"/>
                <w:highlight w:val="none"/>
                <w:lang w:val="en-US" w:eastAsia="zh-CN"/>
              </w:rPr>
              <w:t>投标人</w:t>
            </w:r>
            <w:r>
              <w:rPr>
                <w:rFonts w:hint="default" w:ascii="Times New Roman" w:hAnsi="Times New Roman" w:eastAsia="宋体" w:cs="Times New Roman"/>
                <w:bCs/>
                <w:color w:val="auto"/>
                <w:sz w:val="21"/>
                <w:szCs w:val="21"/>
                <w:highlight w:val="none"/>
                <w:lang w:val="en-US" w:eastAsia="zh-CN"/>
              </w:rPr>
              <w:t>有</w:t>
            </w:r>
            <w:r>
              <w:rPr>
                <w:rFonts w:hint="eastAsia" w:ascii="Times New Roman" w:hAnsi="Times New Roman" w:cs="Times New Roman"/>
                <w:bCs/>
                <w:color w:val="auto"/>
                <w:sz w:val="21"/>
                <w:szCs w:val="21"/>
                <w:highlight w:val="none"/>
                <w:lang w:val="en-US" w:eastAsia="zh-CN"/>
              </w:rPr>
              <w:t>相关同类业绩的</w:t>
            </w:r>
            <w:r>
              <w:rPr>
                <w:rFonts w:hint="default" w:ascii="Times New Roman" w:hAnsi="Times New Roman" w:eastAsia="宋体" w:cs="Times New Roman"/>
                <w:bCs/>
                <w:color w:val="auto"/>
                <w:sz w:val="21"/>
                <w:szCs w:val="21"/>
                <w:highlight w:val="none"/>
                <w:lang w:val="en-US" w:eastAsia="zh-CN"/>
              </w:rPr>
              <w:t>每项得</w:t>
            </w:r>
            <w:r>
              <w:rPr>
                <w:rFonts w:hint="eastAsia" w:ascii="Times New Roman" w:hAnsi="Times New Roman" w:cs="Times New Roman"/>
                <w:bCs/>
                <w:color w:val="auto"/>
                <w:sz w:val="21"/>
                <w:szCs w:val="21"/>
                <w:highlight w:val="none"/>
                <w:lang w:val="en-US" w:eastAsia="zh-CN"/>
              </w:rPr>
              <w:t>1.5</w:t>
            </w:r>
            <w:r>
              <w:rPr>
                <w:rFonts w:hint="default" w:ascii="Times New Roman" w:hAnsi="Times New Roman" w:eastAsia="宋体" w:cs="Times New Roman"/>
                <w:bCs/>
                <w:color w:val="auto"/>
                <w:sz w:val="21"/>
                <w:szCs w:val="21"/>
                <w:highlight w:val="none"/>
                <w:lang w:val="en-US" w:eastAsia="zh-CN"/>
              </w:rPr>
              <w:t>分；满分</w:t>
            </w:r>
            <w:r>
              <w:rPr>
                <w:rFonts w:hint="eastAsia" w:ascii="Times New Roman" w:hAnsi="Times New Roman" w:cs="Times New Roman"/>
                <w:bCs/>
                <w:color w:val="auto"/>
                <w:sz w:val="21"/>
                <w:szCs w:val="21"/>
                <w:highlight w:val="none"/>
                <w:lang w:val="en-US" w:eastAsia="zh-CN"/>
              </w:rPr>
              <w:t>15</w:t>
            </w:r>
            <w:r>
              <w:rPr>
                <w:rFonts w:hint="default" w:ascii="Times New Roman" w:hAnsi="Times New Roman" w:eastAsia="宋体" w:cs="Times New Roman"/>
                <w:bCs/>
                <w:color w:val="auto"/>
                <w:sz w:val="21"/>
                <w:szCs w:val="21"/>
                <w:highlight w:val="none"/>
                <w:lang w:val="en-US" w:eastAsia="zh-CN"/>
              </w:rPr>
              <w:t>分。（</w:t>
            </w:r>
            <w:r>
              <w:rPr>
                <w:rFonts w:hint="default" w:ascii="Times New Roman" w:hAnsi="Times New Roman" w:cs="Times New Roman"/>
                <w:bCs/>
                <w:color w:val="auto"/>
                <w:sz w:val="21"/>
                <w:szCs w:val="21"/>
                <w:highlight w:val="none"/>
                <w:lang w:val="en-US" w:eastAsia="zh-CN"/>
              </w:rPr>
              <w:t>注：以合同复印件为准，要能体现采购内容及签字页，否则不予计分。</w:t>
            </w:r>
            <w:r>
              <w:rPr>
                <w:rFonts w:hint="default" w:ascii="Times New Roman" w:hAnsi="Times New Roman" w:eastAsia="宋体" w:cs="Times New Roman"/>
                <w:bCs/>
                <w:color w:val="auto"/>
                <w:sz w:val="21"/>
                <w:szCs w:val="21"/>
                <w:highlight w:val="none"/>
                <w:lang w:val="en-US" w:eastAsia="zh-CN"/>
              </w:rPr>
              <w:t>）</w:t>
            </w:r>
          </w:p>
        </w:tc>
        <w:tc>
          <w:tcPr>
            <w:tcW w:w="1406" w:type="dxa"/>
            <w:vAlign w:val="center"/>
          </w:tcPr>
          <w:p>
            <w:pPr>
              <w:adjustRightInd w:val="0"/>
              <w:snapToGrid w:val="0"/>
              <w:spacing w:line="360" w:lineRule="atLeast"/>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 xml:space="preserve">提供业绩证明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113" w:type="dxa"/>
            <w:gridSpan w:val="4"/>
            <w:vAlign w:val="center"/>
          </w:tcPr>
          <w:p>
            <w:pPr>
              <w:pStyle w:val="12"/>
              <w:snapToGrid w:val="0"/>
              <w:spacing w:line="360" w:lineRule="atLeast"/>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总得分=1+2+3</w:t>
            </w:r>
          </w:p>
        </w:tc>
        <w:tc>
          <w:tcPr>
            <w:tcW w:w="1406" w:type="dxa"/>
            <w:vAlign w:val="top"/>
          </w:tcPr>
          <w:p>
            <w:pPr>
              <w:pStyle w:val="12"/>
              <w:snapToGrid w:val="0"/>
              <w:spacing w:line="360" w:lineRule="atLeast"/>
              <w:rPr>
                <w:rFonts w:hint="default" w:ascii="Times New Roman" w:hAnsi="Times New Roman" w:cs="Times New Roman"/>
                <w:b/>
                <w:bCs/>
                <w:color w:val="auto"/>
                <w:sz w:val="21"/>
                <w:szCs w:val="21"/>
                <w:highlight w:val="none"/>
              </w:rPr>
            </w:pPr>
          </w:p>
        </w:tc>
      </w:tr>
    </w:tbl>
    <w:p>
      <w:pPr>
        <w:pStyle w:val="2"/>
        <w:pageBreakBefore w:val="0"/>
        <w:kinsoku/>
        <w:wordWrap/>
        <w:overflowPunct/>
        <w:topLinePunct w:val="0"/>
        <w:autoSpaceDE/>
        <w:autoSpaceDN/>
        <w:bidi w:val="0"/>
        <w:spacing w:line="360" w:lineRule="auto"/>
        <w:rPr>
          <w:rFonts w:hint="default" w:ascii="Times New Roman" w:hAnsi="Times New Roman" w:cs="Times New Roman"/>
          <w:color w:val="auto"/>
          <w:sz w:val="21"/>
          <w:szCs w:val="21"/>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8E21F"/>
    <w:multiLevelType w:val="singleLevel"/>
    <w:tmpl w:val="9B78E21F"/>
    <w:lvl w:ilvl="0" w:tentative="0">
      <w:start w:val="1"/>
      <w:numFmt w:val="decimal"/>
      <w:suff w:val="space"/>
      <w:lvlText w:val="%1、"/>
      <w:lvlJc w:val="left"/>
    </w:lvl>
  </w:abstractNum>
  <w:abstractNum w:abstractNumId="1">
    <w:nsid w:val="04823C36"/>
    <w:multiLevelType w:val="singleLevel"/>
    <w:tmpl w:val="04823C36"/>
    <w:lvl w:ilvl="0" w:tentative="0">
      <w:start w:val="1"/>
      <w:numFmt w:val="decimal"/>
      <w:suff w:val="nothing"/>
      <w:lvlText w:val="（%1）"/>
      <w:lvlJc w:val="left"/>
    </w:lvl>
  </w:abstractNum>
  <w:abstractNum w:abstractNumId="2">
    <w:nsid w:val="0CA5B114"/>
    <w:multiLevelType w:val="singleLevel"/>
    <w:tmpl w:val="0CA5B114"/>
    <w:lvl w:ilvl="0" w:tentative="0">
      <w:start w:val="1"/>
      <w:numFmt w:val="decimal"/>
      <w:pStyle w:val="7"/>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WU2MDZjMDg0MDZmMzZkMGM5MTQ3MWE0NmQxYjgifQ=="/>
  </w:docVars>
  <w:rsids>
    <w:rsidRoot w:val="7CFE4FCB"/>
    <w:rsid w:val="03922DA0"/>
    <w:rsid w:val="0531503E"/>
    <w:rsid w:val="0869623A"/>
    <w:rsid w:val="091F2D9D"/>
    <w:rsid w:val="09D873B4"/>
    <w:rsid w:val="0A222B45"/>
    <w:rsid w:val="0BE11AC8"/>
    <w:rsid w:val="0CF63C63"/>
    <w:rsid w:val="0D366907"/>
    <w:rsid w:val="0F6950DE"/>
    <w:rsid w:val="0F6C4862"/>
    <w:rsid w:val="100D557C"/>
    <w:rsid w:val="10916B88"/>
    <w:rsid w:val="10CB02D4"/>
    <w:rsid w:val="11336508"/>
    <w:rsid w:val="11E16F81"/>
    <w:rsid w:val="135D4BEE"/>
    <w:rsid w:val="13DC59B8"/>
    <w:rsid w:val="15A12E8B"/>
    <w:rsid w:val="1666025D"/>
    <w:rsid w:val="17A54DB5"/>
    <w:rsid w:val="180A090B"/>
    <w:rsid w:val="18B10F32"/>
    <w:rsid w:val="1A834206"/>
    <w:rsid w:val="1A9D4946"/>
    <w:rsid w:val="1AEB3902"/>
    <w:rsid w:val="1B9E5DA3"/>
    <w:rsid w:val="1BAD3F52"/>
    <w:rsid w:val="1BC12EB3"/>
    <w:rsid w:val="1D0F6E4E"/>
    <w:rsid w:val="1E5135A1"/>
    <w:rsid w:val="20292F1E"/>
    <w:rsid w:val="20947775"/>
    <w:rsid w:val="227710FC"/>
    <w:rsid w:val="22C7044A"/>
    <w:rsid w:val="22E03E37"/>
    <w:rsid w:val="236D1035"/>
    <w:rsid w:val="23CA2515"/>
    <w:rsid w:val="24DF5BF8"/>
    <w:rsid w:val="272F6449"/>
    <w:rsid w:val="29AA7E52"/>
    <w:rsid w:val="29E259F5"/>
    <w:rsid w:val="2AA96E04"/>
    <w:rsid w:val="2B011EAB"/>
    <w:rsid w:val="2CB133BF"/>
    <w:rsid w:val="306D38BC"/>
    <w:rsid w:val="307B2D06"/>
    <w:rsid w:val="30823A8E"/>
    <w:rsid w:val="30EB1633"/>
    <w:rsid w:val="32121877"/>
    <w:rsid w:val="326C0551"/>
    <w:rsid w:val="36280C33"/>
    <w:rsid w:val="36F777E1"/>
    <w:rsid w:val="38A85856"/>
    <w:rsid w:val="3B133C60"/>
    <w:rsid w:val="3BA80652"/>
    <w:rsid w:val="3BD038FF"/>
    <w:rsid w:val="3CE120F1"/>
    <w:rsid w:val="3E0909BD"/>
    <w:rsid w:val="3E3D7D82"/>
    <w:rsid w:val="3E9311A4"/>
    <w:rsid w:val="3EE75F58"/>
    <w:rsid w:val="3EFA7C7D"/>
    <w:rsid w:val="3F9A6ACF"/>
    <w:rsid w:val="40426D90"/>
    <w:rsid w:val="419F398A"/>
    <w:rsid w:val="422F01AA"/>
    <w:rsid w:val="436A153B"/>
    <w:rsid w:val="43FF01F0"/>
    <w:rsid w:val="44225548"/>
    <w:rsid w:val="442723DE"/>
    <w:rsid w:val="44562E10"/>
    <w:rsid w:val="44FF5255"/>
    <w:rsid w:val="45292F05"/>
    <w:rsid w:val="456D30F4"/>
    <w:rsid w:val="45E80EF5"/>
    <w:rsid w:val="460A54A6"/>
    <w:rsid w:val="46606B3F"/>
    <w:rsid w:val="46D44AB8"/>
    <w:rsid w:val="46D65F62"/>
    <w:rsid w:val="47FB7F56"/>
    <w:rsid w:val="490C3E65"/>
    <w:rsid w:val="496F29A9"/>
    <w:rsid w:val="49C64593"/>
    <w:rsid w:val="4A6342FE"/>
    <w:rsid w:val="4B83273C"/>
    <w:rsid w:val="4B8D35BB"/>
    <w:rsid w:val="4D2B4C2A"/>
    <w:rsid w:val="4E340CEB"/>
    <w:rsid w:val="4E405857"/>
    <w:rsid w:val="4F0A5801"/>
    <w:rsid w:val="4F8E401A"/>
    <w:rsid w:val="53AA7457"/>
    <w:rsid w:val="54233BAB"/>
    <w:rsid w:val="55A44E79"/>
    <w:rsid w:val="56807714"/>
    <w:rsid w:val="569A51B6"/>
    <w:rsid w:val="57407733"/>
    <w:rsid w:val="57433835"/>
    <w:rsid w:val="576F4E44"/>
    <w:rsid w:val="5797119C"/>
    <w:rsid w:val="58663577"/>
    <w:rsid w:val="58935F89"/>
    <w:rsid w:val="58B008E9"/>
    <w:rsid w:val="58B33DCD"/>
    <w:rsid w:val="5C50666A"/>
    <w:rsid w:val="5C9D2E04"/>
    <w:rsid w:val="5CFB3898"/>
    <w:rsid w:val="5D225997"/>
    <w:rsid w:val="5D4712F4"/>
    <w:rsid w:val="5E8D61DC"/>
    <w:rsid w:val="5E924DDE"/>
    <w:rsid w:val="5EB17168"/>
    <w:rsid w:val="5EF91597"/>
    <w:rsid w:val="60F910B5"/>
    <w:rsid w:val="61532759"/>
    <w:rsid w:val="61907509"/>
    <w:rsid w:val="636F4033"/>
    <w:rsid w:val="650B12E7"/>
    <w:rsid w:val="654F0FE3"/>
    <w:rsid w:val="6589499B"/>
    <w:rsid w:val="66536753"/>
    <w:rsid w:val="66C20165"/>
    <w:rsid w:val="691D7D88"/>
    <w:rsid w:val="6A103D8E"/>
    <w:rsid w:val="6AA54025"/>
    <w:rsid w:val="6BE566A3"/>
    <w:rsid w:val="6C6C3041"/>
    <w:rsid w:val="6CE52928"/>
    <w:rsid w:val="6D8D0909"/>
    <w:rsid w:val="6E687936"/>
    <w:rsid w:val="6E76443B"/>
    <w:rsid w:val="6FC74E6E"/>
    <w:rsid w:val="71606858"/>
    <w:rsid w:val="71BD5658"/>
    <w:rsid w:val="725B3B5D"/>
    <w:rsid w:val="73942E89"/>
    <w:rsid w:val="74957176"/>
    <w:rsid w:val="754819F8"/>
    <w:rsid w:val="7625106B"/>
    <w:rsid w:val="762F6E99"/>
    <w:rsid w:val="786D54BC"/>
    <w:rsid w:val="78C91659"/>
    <w:rsid w:val="7A2F56B9"/>
    <w:rsid w:val="7A4C606F"/>
    <w:rsid w:val="7A5074BD"/>
    <w:rsid w:val="7A8520C5"/>
    <w:rsid w:val="7A972DF4"/>
    <w:rsid w:val="7B84410A"/>
    <w:rsid w:val="7CFE4FCB"/>
    <w:rsid w:val="7D2A660C"/>
    <w:rsid w:val="7D7C464A"/>
    <w:rsid w:val="7DB86C91"/>
    <w:rsid w:val="7E813AFE"/>
    <w:rsid w:val="7F8F4E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宋体" w:hAnsi="宋体"/>
      <w:b/>
      <w:bCs/>
      <w:kern w:val="0"/>
      <w:sz w:val="20"/>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qFormat/>
    <w:uiPriority w:val="0"/>
    <w:pPr>
      <w:spacing w:line="380" w:lineRule="exact"/>
    </w:pPr>
    <w:rPr>
      <w:rFonts w:ascii="Times New Roman" w:hAnsi="Times New Roman"/>
      <w:sz w:val="24"/>
      <w:szCs w:val="24"/>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next w:val="11"/>
    <w:qFormat/>
    <w:uiPriority w:val="0"/>
    <w:pPr>
      <w:spacing w:line="200" w:lineRule="exact"/>
      <w:ind w:firstLine="301"/>
    </w:pPr>
    <w:rPr>
      <w:rFonts w:ascii="宋体" w:hAnsi="Courier New"/>
      <w:spacing w:val="-4"/>
      <w:sz w:val="18"/>
      <w:szCs w:val="20"/>
    </w:rPr>
  </w:style>
  <w:style w:type="paragraph" w:customStyle="1" w:styleId="11">
    <w:name w:val="标准正文 Char Char Char Char"/>
    <w:basedOn w:val="1"/>
    <w:next w:val="1"/>
    <w:qFormat/>
    <w:uiPriority w:val="0"/>
    <w:pPr>
      <w:spacing w:after="60"/>
      <w:ind w:firstLine="482"/>
    </w:pPr>
    <w:rPr>
      <w:kern w:val="0"/>
      <w:sz w:val="20"/>
      <w:szCs w:val="20"/>
    </w:rPr>
  </w:style>
  <w:style w:type="paragraph" w:styleId="12">
    <w:name w:val="Plain Text"/>
    <w:basedOn w:val="1"/>
    <w:qFormat/>
    <w:uiPriority w:val="0"/>
    <w:rPr>
      <w:rFonts w:ascii="宋体" w:hAnsi="Courier New"/>
      <w:kern w:val="0"/>
      <w:sz w:val="20"/>
      <w:szCs w:val="21"/>
    </w:rPr>
  </w:style>
  <w:style w:type="paragraph" w:styleId="13">
    <w:name w:val="Body Text Indent 2"/>
    <w:basedOn w:val="1"/>
    <w:qFormat/>
    <w:uiPriority w:val="99"/>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Body Text First Indent 2"/>
    <w:basedOn w:val="10"/>
    <w:unhideWhenUsed/>
    <w:qFormat/>
    <w:uiPriority w:val="0"/>
    <w:pPr>
      <w:ind w:firstLine="420" w:firstLineChars="200"/>
    </w:p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9">
    <w:name w:val="NormalCharacter"/>
    <w:semiHidden/>
    <w:qFormat/>
    <w:uiPriority w:val="0"/>
    <w:rPr>
      <w:sz w:val="21"/>
    </w:rPr>
  </w:style>
  <w:style w:type="paragraph" w:customStyle="1" w:styleId="20">
    <w:name w:val="样式 正文缩进正文（首行缩进两字）首行缩进两字 + 首行缩进:  2 字符1"/>
    <w:basedOn w:val="8"/>
    <w:qFormat/>
    <w:uiPriority w:val="0"/>
    <w:pPr>
      <w:spacing w:before="156" w:beforeLines="50" w:after="156" w:afterLines="50" w:line="500" w:lineRule="exact"/>
      <w:ind w:firstLine="200"/>
    </w:pPr>
    <w:rPr>
      <w:color w:val="000000"/>
      <w:sz w:val="28"/>
    </w:rPr>
  </w:style>
  <w:style w:type="paragraph" w:customStyle="1" w:styleId="21">
    <w:name w:val="AnnotationText"/>
    <w:basedOn w:val="1"/>
    <w:qFormat/>
    <w:uiPriority w:val="0"/>
    <w:pPr>
      <w:widowControl/>
      <w:jc w:val="left"/>
      <w:textAlignment w:val="baseline"/>
    </w:pPr>
  </w:style>
  <w:style w:type="paragraph" w:customStyle="1" w:styleId="22">
    <w:name w:val="Table Paragraph"/>
    <w:basedOn w:val="1"/>
    <w:qFormat/>
    <w:uiPriority w:val="1"/>
    <w:pPr>
      <w:jc w:val="left"/>
    </w:pPr>
    <w:rPr>
      <w:rFonts w:ascii="Calibri" w:hAnsi="Calibri"/>
      <w:kern w:val="0"/>
      <w:sz w:val="22"/>
      <w:szCs w:val="22"/>
      <w:lang w:eastAsia="en-US"/>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unhideWhenUsed/>
    <w:qFormat/>
    <w:uiPriority w:val="0"/>
    <w:tblPr>
      <w:tblLayout w:type="fixed"/>
      <w:tblCellMar>
        <w:top w:w="0" w:type="dxa"/>
        <w:left w:w="0" w:type="dxa"/>
        <w:bottom w:w="0" w:type="dxa"/>
        <w:right w:w="0" w:type="dxa"/>
      </w:tblCellMar>
    </w:tblPr>
  </w:style>
  <w:style w:type="character" w:customStyle="1" w:styleId="25">
    <w:name w:val="font21"/>
    <w:basedOn w:val="17"/>
    <w:qFormat/>
    <w:uiPriority w:val="0"/>
    <w:rPr>
      <w:rFonts w:hint="eastAsia" w:ascii="宋体" w:hAnsi="宋体" w:eastAsia="宋体" w:cs="宋体"/>
      <w:color w:val="000000"/>
      <w:sz w:val="21"/>
      <w:szCs w:val="21"/>
      <w:u w:val="none"/>
    </w:rPr>
  </w:style>
  <w:style w:type="character" w:customStyle="1" w:styleId="26">
    <w:name w:val="font11"/>
    <w:basedOn w:val="17"/>
    <w:qFormat/>
    <w:uiPriority w:val="0"/>
    <w:rPr>
      <w:rFonts w:hint="eastAsia" w:ascii="宋体" w:hAnsi="宋体" w:eastAsia="宋体" w:cs="宋体"/>
      <w:b/>
      <w:bCs/>
      <w:color w:val="000000"/>
      <w:sz w:val="21"/>
      <w:szCs w:val="21"/>
      <w:u w:val="none"/>
    </w:rPr>
  </w:style>
  <w:style w:type="paragraph" w:customStyle="1" w:styleId="2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2886</Words>
  <Characters>2960</Characters>
  <Lines>0</Lines>
  <Paragraphs>0</Paragraphs>
  <TotalTime>0</TotalTime>
  <ScaleCrop>false</ScaleCrop>
  <LinksUpToDate>false</LinksUpToDate>
  <CharactersWithSpaces>2993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2020-12-17T03:18:00Z</dcterms:created>
  <dc:creator>Weíleǐ</dc:creator>
  <cp:lastModifiedBy>Administrator</cp:lastModifiedBy>
  <cp:lastPrinted>2025-10-10T09:09:00Z</cp:lastPrinted>
  <dcterms:modified xsi:type="dcterms:W3CDTF">2025-11-04T02:59:48Z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0A2BEE4F88FA47119A4386C956569078_13</vt:lpwstr>
  </property>
  <property fmtid="{D5CDD505-2E9C-101B-9397-08002B2CF9AE}" pid="4" name="KSOTemplateDocerSaveRecord">
    <vt:lpwstr>eyJoZGlkIjoiMDkyYzY4YTAyZTFiNTE4MDdkOWQxYTFkNjZjYzQ3ZTIiLCJ1c2VySWQiOiI1NzQ3OTQwMzAifQ==</vt:lpwstr>
  </property>
</Properties>
</file>