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rPr>
          <w:rFonts w:ascii="宋体" w:hAnsi="宋体" w:cs="宋体"/>
          <w:bCs/>
          <w:szCs w:val="21"/>
        </w:rPr>
      </w:pPr>
      <w:r>
        <w:rPr>
          <w:rFonts w:hint="eastAsia" w:ascii="宋体" w:hAnsi="宋体" w:cs="宋体"/>
          <w:bCs/>
          <w:szCs w:val="21"/>
        </w:rPr>
        <w:t>1.评审依据</w:t>
      </w:r>
    </w:p>
    <w:p>
      <w:pPr>
        <w:spacing w:line="360" w:lineRule="auto"/>
        <w:ind w:firstLine="420" w:firstLineChars="200"/>
        <w:rPr>
          <w:rFonts w:ascii="宋体" w:hAnsi="宋体" w:cs="宋体"/>
          <w:bCs/>
          <w:szCs w:val="21"/>
        </w:rPr>
      </w:pPr>
      <w:r>
        <w:rPr>
          <w:rFonts w:hint="eastAsia" w:ascii="宋体" w:hAnsi="宋体" w:cs="宋体"/>
          <w:bCs/>
          <w:szCs w:val="21"/>
        </w:rPr>
        <w:t>磋商小组将以磋商响应文件为评审依据，对供应商的报价、技术、商务等方面内容按百分制打分。（计分方法按四舍五入取至百分位）</w:t>
      </w:r>
    </w:p>
    <w:tbl>
      <w:tblPr>
        <w:tblStyle w:val="7"/>
        <w:tblpPr w:leftFromText="180" w:rightFromText="180" w:vertAnchor="text" w:horzAnchor="page" w:tblpX="1354" w:tblpY="538"/>
        <w:tblOverlap w:val="never"/>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11"/>
        <w:gridCol w:w="60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1" w:type="dxa"/>
            <w:vAlign w:val="center"/>
          </w:tcPr>
          <w:p>
            <w:pPr>
              <w:widowControl/>
              <w:spacing w:line="400" w:lineRule="exact"/>
              <w:jc w:val="center"/>
              <w:rPr>
                <w:rFonts w:ascii="宋体" w:hAnsi="宋体" w:cs="Tahoma"/>
                <w:b/>
                <w:bCs/>
                <w:kern w:val="0"/>
                <w:szCs w:val="21"/>
              </w:rPr>
            </w:pPr>
            <w:r>
              <w:rPr>
                <w:rFonts w:hint="eastAsia" w:ascii="宋体" w:hAnsi="宋体" w:cs="Tahoma"/>
                <w:b/>
                <w:bCs/>
                <w:kern w:val="0"/>
                <w:szCs w:val="21"/>
              </w:rPr>
              <w:t>序号</w:t>
            </w:r>
          </w:p>
        </w:tc>
        <w:tc>
          <w:tcPr>
            <w:tcW w:w="1611" w:type="dxa"/>
            <w:vAlign w:val="center"/>
          </w:tcPr>
          <w:p>
            <w:pPr>
              <w:widowControl/>
              <w:spacing w:line="400" w:lineRule="exact"/>
              <w:jc w:val="center"/>
              <w:rPr>
                <w:rFonts w:ascii="宋体" w:hAnsi="宋体" w:cs="Tahoma"/>
                <w:b/>
                <w:bCs/>
                <w:kern w:val="0"/>
                <w:szCs w:val="21"/>
              </w:rPr>
            </w:pPr>
            <w:r>
              <w:rPr>
                <w:rFonts w:hint="eastAsia" w:ascii="宋体" w:hAnsi="宋体" w:cs="Tahoma"/>
                <w:b/>
                <w:bCs/>
                <w:kern w:val="0"/>
                <w:szCs w:val="21"/>
              </w:rPr>
              <w:t>评审因素</w:t>
            </w:r>
          </w:p>
        </w:tc>
        <w:tc>
          <w:tcPr>
            <w:tcW w:w="6095" w:type="dxa"/>
            <w:vAlign w:val="center"/>
          </w:tcPr>
          <w:p>
            <w:pPr>
              <w:widowControl/>
              <w:spacing w:line="400" w:lineRule="exact"/>
              <w:jc w:val="center"/>
              <w:rPr>
                <w:rFonts w:ascii="宋体" w:hAnsi="宋体" w:cs="Tahoma"/>
                <w:b/>
                <w:bCs/>
                <w:kern w:val="0"/>
                <w:szCs w:val="21"/>
              </w:rPr>
            </w:pPr>
            <w:r>
              <w:rPr>
                <w:rFonts w:hint="eastAsia" w:ascii="宋体" w:hAnsi="宋体" w:cs="Tahoma"/>
                <w:b/>
                <w:bCs/>
                <w:kern w:val="0"/>
                <w:szCs w:val="21"/>
              </w:rPr>
              <w:t>评审因素具体内容</w:t>
            </w:r>
          </w:p>
        </w:tc>
        <w:tc>
          <w:tcPr>
            <w:tcW w:w="850" w:type="dxa"/>
            <w:vAlign w:val="center"/>
          </w:tcPr>
          <w:p>
            <w:pPr>
              <w:widowControl/>
              <w:spacing w:line="400" w:lineRule="exact"/>
              <w:jc w:val="center"/>
              <w:rPr>
                <w:rFonts w:ascii="宋体" w:hAnsi="宋体" w:cs="Tahoma"/>
                <w:b/>
                <w:bCs/>
                <w:kern w:val="0"/>
                <w:szCs w:val="21"/>
              </w:rPr>
            </w:pPr>
            <w:r>
              <w:rPr>
                <w:rFonts w:hint="eastAsia" w:ascii="宋体" w:hAnsi="宋体" w:cs="Tahoma"/>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1" w:type="dxa"/>
            <w:vAlign w:val="center"/>
          </w:tcPr>
          <w:p>
            <w:pPr>
              <w:widowControl/>
              <w:spacing w:line="400" w:lineRule="exact"/>
              <w:jc w:val="center"/>
              <w:rPr>
                <w:rFonts w:ascii="宋体" w:hAnsi="宋体" w:cs="Tahoma"/>
                <w:kern w:val="0"/>
                <w:szCs w:val="21"/>
              </w:rPr>
            </w:pPr>
            <w:r>
              <w:rPr>
                <w:rFonts w:hint="eastAsia" w:ascii="宋体" w:hAnsi="宋体" w:cs="Tahoma"/>
                <w:kern w:val="0"/>
                <w:szCs w:val="21"/>
              </w:rPr>
              <w:t>1</w:t>
            </w:r>
          </w:p>
        </w:tc>
        <w:tc>
          <w:tcPr>
            <w:tcW w:w="1611" w:type="dxa"/>
            <w:vAlign w:val="center"/>
          </w:tcPr>
          <w:p>
            <w:pPr>
              <w:widowControl/>
              <w:spacing w:line="400" w:lineRule="exact"/>
              <w:jc w:val="center"/>
              <w:rPr>
                <w:rFonts w:ascii="宋体" w:hAnsi="宋体" w:cs="Tahoma"/>
                <w:kern w:val="0"/>
                <w:szCs w:val="21"/>
              </w:rPr>
            </w:pPr>
            <w:r>
              <w:rPr>
                <w:rFonts w:hint="eastAsia" w:ascii="宋体" w:hAnsi="宋体" w:cs="Tahoma"/>
                <w:kern w:val="0"/>
                <w:szCs w:val="21"/>
              </w:rPr>
              <w:t>价格分</w:t>
            </w:r>
          </w:p>
        </w:tc>
        <w:tc>
          <w:tcPr>
            <w:tcW w:w="6095" w:type="dxa"/>
            <w:vAlign w:val="top"/>
          </w:tcPr>
          <w:p>
            <w:pPr>
              <w:pStyle w:val="4"/>
              <w:spacing w:line="44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价格分计算公式：</w:t>
            </w:r>
          </w:p>
          <w:p>
            <w:pPr>
              <w:pStyle w:val="4"/>
              <w:spacing w:line="440" w:lineRule="exact"/>
              <w:ind w:left="0" w:leftChars="0" w:firstLine="0" w:firstLineChars="0"/>
              <w:jc w:val="both"/>
              <w:rPr>
                <w:rFonts w:hint="eastAsia"/>
                <w:sz w:val="21"/>
                <w:szCs w:val="21"/>
              </w:rPr>
            </w:pPr>
            <w:r>
              <w:rPr>
                <w:rFonts w:hint="eastAsia" w:ascii="宋体" w:hAnsi="宋体" w:eastAsia="宋体" w:cs="宋体"/>
                <w:sz w:val="21"/>
                <w:szCs w:val="21"/>
              </w:rPr>
              <w:t>某供应商报价得分＝基准价/某供应商最终报价×20分。</w:t>
            </w:r>
          </w:p>
          <w:p>
            <w:pPr>
              <w:pStyle w:val="4"/>
              <w:spacing w:line="440" w:lineRule="exact"/>
              <w:ind w:left="0" w:leftChars="0" w:firstLine="0" w:firstLineChars="0"/>
              <w:jc w:val="both"/>
              <w:rPr>
                <w:rFonts w:hint="eastAsia"/>
              </w:rPr>
            </w:pPr>
            <w:r>
              <w:rPr>
                <w:rFonts w:hint="eastAsia" w:hAnsi="宋体"/>
                <w:b w:val="0"/>
                <w:bCs w:val="0"/>
                <w:sz w:val="21"/>
              </w:rPr>
              <w:t>备注：磋商小组认为供应商的报价明显低于其他通过符合性审查供应商的报价，有可能影响工程质量或者不能诚信履约的，应当要求其在评标现场合理的时间内提供书面说明，必要时提交相关证明材料；供应商不能证明其报价合理性的，磋商小组应当将其作为无效竞标处理。</w:t>
            </w:r>
          </w:p>
        </w:tc>
        <w:tc>
          <w:tcPr>
            <w:tcW w:w="850" w:type="dxa"/>
            <w:vAlign w:val="center"/>
          </w:tcPr>
          <w:p>
            <w:pPr>
              <w:widowControl/>
              <w:spacing w:line="400" w:lineRule="exact"/>
              <w:jc w:val="center"/>
              <w:rPr>
                <w:rFonts w:ascii="宋体" w:hAnsi="宋体" w:cs="Tahoma"/>
                <w:kern w:val="0"/>
                <w:szCs w:val="21"/>
              </w:rPr>
            </w:pPr>
            <w:r>
              <w:rPr>
                <w:rFonts w:hint="eastAsia" w:ascii="宋体" w:hAnsi="宋体" w:cs="Tahoma"/>
                <w:kern w:val="0"/>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1" w:type="dxa"/>
            <w:vAlign w:val="center"/>
          </w:tcPr>
          <w:p>
            <w:pPr>
              <w:widowControl/>
              <w:spacing w:line="400" w:lineRule="exact"/>
              <w:jc w:val="center"/>
              <w:rPr>
                <w:rFonts w:hint="eastAsia" w:ascii="宋体" w:hAnsi="宋体" w:cs="Tahoma"/>
                <w:b/>
                <w:kern w:val="0"/>
                <w:szCs w:val="21"/>
              </w:rPr>
            </w:pPr>
            <w:r>
              <w:rPr>
                <w:rFonts w:hint="eastAsia" w:ascii="宋体" w:hAnsi="宋体"/>
                <w:b/>
                <w:kern w:val="0"/>
                <w:szCs w:val="21"/>
              </w:rPr>
              <w:t>2</w:t>
            </w:r>
          </w:p>
        </w:tc>
        <w:tc>
          <w:tcPr>
            <w:tcW w:w="1611" w:type="dxa"/>
            <w:vAlign w:val="center"/>
          </w:tcPr>
          <w:p>
            <w:pPr>
              <w:widowControl/>
              <w:spacing w:line="400" w:lineRule="exact"/>
              <w:jc w:val="center"/>
              <w:rPr>
                <w:rFonts w:hint="eastAsia" w:ascii="宋体" w:hAnsi="宋体" w:cs="Tahoma"/>
                <w:b/>
                <w:kern w:val="0"/>
                <w:szCs w:val="21"/>
              </w:rPr>
            </w:pPr>
            <w:r>
              <w:rPr>
                <w:rFonts w:hint="eastAsia" w:ascii="宋体" w:hAnsi="宋体"/>
                <w:b/>
                <w:kern w:val="0"/>
                <w:szCs w:val="21"/>
              </w:rPr>
              <w:t>技术分</w:t>
            </w:r>
          </w:p>
        </w:tc>
        <w:tc>
          <w:tcPr>
            <w:tcW w:w="6945" w:type="dxa"/>
            <w:gridSpan w:val="2"/>
            <w:vAlign w:val="top"/>
          </w:tcPr>
          <w:p>
            <w:pPr>
              <w:widowControl/>
              <w:spacing w:line="400" w:lineRule="exact"/>
              <w:jc w:val="center"/>
              <w:rPr>
                <w:rFonts w:hint="eastAsia" w:ascii="宋体" w:hAnsi="宋体" w:cs="Tahoma"/>
                <w:b/>
                <w:kern w:val="0"/>
                <w:szCs w:val="21"/>
              </w:rPr>
            </w:pPr>
            <w:r>
              <w:rPr>
                <w:rFonts w:hint="eastAsia" w:ascii="宋体" w:hAnsi="宋体" w:cs="Tahoma"/>
                <w:b/>
                <w:kern w:val="0"/>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1" w:type="dxa"/>
            <w:vAlign w:val="center"/>
          </w:tcPr>
          <w:p>
            <w:pPr>
              <w:adjustRightInd w:val="0"/>
              <w:spacing w:line="400" w:lineRule="exact"/>
              <w:ind w:left="-105" w:leftChars="-50" w:right="-105" w:rightChars="-50"/>
              <w:jc w:val="center"/>
              <w:textAlignment w:val="baseline"/>
              <w:rPr>
                <w:rFonts w:hint="eastAsia" w:ascii="宋体" w:hAnsi="宋体"/>
                <w:bCs/>
                <w:kern w:val="0"/>
                <w:szCs w:val="21"/>
              </w:rPr>
            </w:pPr>
            <w:r>
              <w:rPr>
                <w:rFonts w:ascii="宋体" w:hAnsi="宋体"/>
                <w:bCs/>
                <w:kern w:val="0"/>
                <w:szCs w:val="21"/>
              </w:rPr>
              <w:t>2.</w:t>
            </w:r>
            <w:r>
              <w:rPr>
                <w:rFonts w:hint="eastAsia" w:ascii="宋体" w:hAnsi="宋体"/>
                <w:bCs/>
                <w:kern w:val="0"/>
                <w:szCs w:val="21"/>
              </w:rPr>
              <w:t>1</w:t>
            </w:r>
          </w:p>
        </w:tc>
        <w:tc>
          <w:tcPr>
            <w:tcW w:w="1611" w:type="dxa"/>
            <w:vAlign w:val="center"/>
          </w:tcPr>
          <w:p>
            <w:pPr>
              <w:spacing w:line="360" w:lineRule="auto"/>
              <w:jc w:val="center"/>
              <w:rPr>
                <w:rFonts w:hint="eastAsia" w:ascii="宋体" w:hAnsi="宋体"/>
                <w:szCs w:val="21"/>
              </w:rPr>
            </w:pPr>
            <w:r>
              <w:rPr>
                <w:rFonts w:hint="eastAsia" w:ascii="新宋体" w:hAnsi="新宋体" w:eastAsia="新宋体" w:cs="新宋体"/>
                <w:szCs w:val="21"/>
              </w:rPr>
              <w:t>维保服务方案分（满分30分）</w:t>
            </w:r>
          </w:p>
        </w:tc>
        <w:tc>
          <w:tcPr>
            <w:tcW w:w="6095" w:type="dxa"/>
            <w:vAlign w:val="center"/>
          </w:tcPr>
          <w:p>
            <w:pPr>
              <w:pStyle w:val="5"/>
              <w:spacing w:line="440" w:lineRule="exact"/>
              <w:ind w:firstLine="219" w:firstLineChars="104"/>
              <w:rPr>
                <w:rFonts w:hint="eastAsia" w:ascii="宋体" w:hAnsi="宋体" w:eastAsia="宋体" w:cs="宋体"/>
                <w:sz w:val="21"/>
                <w:szCs w:val="21"/>
              </w:rPr>
            </w:pPr>
            <w:r>
              <w:rPr>
                <w:rFonts w:hint="eastAsia" w:ascii="宋体" w:hAnsi="宋体" w:eastAsia="宋体" w:cs="宋体"/>
                <w:b/>
                <w:bCs/>
                <w:sz w:val="21"/>
                <w:szCs w:val="21"/>
              </w:rPr>
              <w:t>一档（0分）：</w:t>
            </w:r>
            <w:r>
              <w:rPr>
                <w:rFonts w:hint="eastAsia" w:ascii="宋体" w:hAnsi="宋体" w:eastAsia="宋体" w:cs="宋体"/>
                <w:sz w:val="21"/>
                <w:szCs w:val="21"/>
              </w:rPr>
              <w:t>未提供方案的。</w:t>
            </w:r>
          </w:p>
          <w:p>
            <w:pPr>
              <w:pStyle w:val="5"/>
              <w:spacing w:line="440" w:lineRule="exact"/>
              <w:ind w:firstLine="219" w:firstLineChars="104"/>
              <w:rPr>
                <w:rFonts w:hint="eastAsia" w:ascii="宋体" w:hAnsi="宋体" w:eastAsia="宋体" w:cs="宋体"/>
                <w:sz w:val="21"/>
                <w:szCs w:val="21"/>
              </w:rPr>
            </w:pPr>
            <w:r>
              <w:rPr>
                <w:rFonts w:hint="eastAsia" w:ascii="宋体" w:hAnsi="宋体" w:eastAsia="宋体" w:cs="宋体"/>
                <w:b/>
                <w:bCs/>
                <w:sz w:val="21"/>
                <w:szCs w:val="21"/>
              </w:rPr>
              <w:t>二档（10分）：</w:t>
            </w:r>
            <w:r>
              <w:rPr>
                <w:rFonts w:hint="eastAsia" w:ascii="宋体" w:hAnsi="宋体" w:eastAsia="宋体" w:cs="宋体"/>
                <w:sz w:val="21"/>
                <w:szCs w:val="21"/>
              </w:rPr>
              <w:t>有简单的电梯维护保养实施方案，有基础的日常和季度维护保养措施。</w:t>
            </w:r>
          </w:p>
          <w:p>
            <w:pPr>
              <w:pStyle w:val="5"/>
              <w:spacing w:line="440" w:lineRule="exact"/>
              <w:ind w:firstLine="219" w:firstLineChars="104"/>
              <w:rPr>
                <w:rFonts w:hint="eastAsia" w:ascii="宋体" w:hAnsi="宋体" w:eastAsia="宋体" w:cs="宋体"/>
                <w:sz w:val="21"/>
                <w:szCs w:val="21"/>
              </w:rPr>
            </w:pPr>
            <w:r>
              <w:rPr>
                <w:rFonts w:hint="eastAsia" w:ascii="宋体" w:hAnsi="宋体" w:eastAsia="宋体" w:cs="宋体"/>
                <w:b/>
                <w:bCs/>
                <w:sz w:val="21"/>
                <w:szCs w:val="21"/>
              </w:rPr>
              <w:t>三档（20分）：</w:t>
            </w:r>
            <w:r>
              <w:rPr>
                <w:rFonts w:hint="eastAsia" w:ascii="宋体" w:hAnsi="宋体" w:eastAsia="宋体" w:cs="宋体"/>
                <w:sz w:val="21"/>
                <w:szCs w:val="21"/>
              </w:rPr>
              <w:t>有比较完善的日常和季度维护保养措施、年度维护保养措施，项目实施计划方案、故障报修及维修方案、配件的备品备件库建立和维修更换计划方案、安全工作保障及环境保护措施，体现标准化服务。</w:t>
            </w:r>
          </w:p>
          <w:p>
            <w:pPr>
              <w:pStyle w:val="5"/>
              <w:spacing w:line="440" w:lineRule="exact"/>
              <w:ind w:firstLine="219" w:firstLineChars="104"/>
              <w:rPr>
                <w:rFonts w:hint="eastAsia" w:ascii="宋体" w:hAnsi="宋体" w:eastAsia="宋体" w:cs="宋体"/>
                <w:sz w:val="21"/>
                <w:szCs w:val="21"/>
              </w:rPr>
            </w:pPr>
            <w:r>
              <w:rPr>
                <w:rFonts w:hint="eastAsia" w:ascii="宋体" w:hAnsi="宋体" w:eastAsia="宋体" w:cs="宋体"/>
                <w:b/>
                <w:bCs/>
                <w:sz w:val="21"/>
                <w:szCs w:val="21"/>
              </w:rPr>
              <w:t>四档（30分）：</w:t>
            </w:r>
            <w:r>
              <w:rPr>
                <w:rFonts w:hint="eastAsia" w:ascii="宋体" w:hAnsi="宋体" w:eastAsia="宋体" w:cs="宋体"/>
                <w:sz w:val="21"/>
                <w:szCs w:val="21"/>
              </w:rPr>
              <w:t xml:space="preserve">有完善可行的日常和季度维护保养措施、项目实施计划方案、故障报修及维修方案、配件的备品备件库建立和维修更换计划方案、安全工作保障及环境保护措施，详细说明作业流程、时效要求、监督机制、信息反馈渠道及处理机制，维保单位配有检测维修电梯的专用诊断设备，体现标准化服务，符合本项目特点。 </w:t>
            </w:r>
          </w:p>
        </w:tc>
        <w:tc>
          <w:tcPr>
            <w:tcW w:w="850" w:type="dxa"/>
            <w:vAlign w:val="center"/>
          </w:tcPr>
          <w:p>
            <w:pPr>
              <w:spacing w:line="360" w:lineRule="auto"/>
              <w:jc w:val="center"/>
              <w:rPr>
                <w:rFonts w:hint="eastAsia" w:ascii="宋体" w:hAnsi="宋体"/>
                <w:szCs w:val="21"/>
              </w:rPr>
            </w:pPr>
            <w:r>
              <w:rPr>
                <w:rFonts w:hint="eastAsia" w:ascii="新宋体" w:hAnsi="新宋体" w:eastAsia="新宋体" w:cs="新宋体"/>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4" w:hRule="atLeast"/>
        </w:trPr>
        <w:tc>
          <w:tcPr>
            <w:tcW w:w="711" w:type="dxa"/>
            <w:vAlign w:val="center"/>
          </w:tcPr>
          <w:p>
            <w:pPr>
              <w:adjustRightInd w:val="0"/>
              <w:spacing w:line="400" w:lineRule="exact"/>
              <w:ind w:left="-105" w:leftChars="-50" w:right="-105" w:rightChars="-50"/>
              <w:jc w:val="center"/>
              <w:textAlignment w:val="baseline"/>
              <w:rPr>
                <w:rFonts w:ascii="宋体" w:hAnsi="宋体"/>
                <w:bCs/>
                <w:kern w:val="0"/>
                <w:szCs w:val="21"/>
              </w:rPr>
            </w:pPr>
            <w:r>
              <w:rPr>
                <w:rFonts w:hint="eastAsia" w:ascii="宋体" w:hAnsi="宋体"/>
                <w:bCs/>
                <w:kern w:val="0"/>
                <w:szCs w:val="21"/>
              </w:rPr>
              <w:t>2.2</w:t>
            </w:r>
          </w:p>
        </w:tc>
        <w:tc>
          <w:tcPr>
            <w:tcW w:w="1611" w:type="dxa"/>
            <w:vAlign w:val="center"/>
          </w:tcPr>
          <w:p>
            <w:pPr>
              <w:spacing w:line="360" w:lineRule="auto"/>
              <w:jc w:val="center"/>
              <w:rPr>
                <w:rFonts w:hint="eastAsia" w:ascii="宋体" w:hAnsi="宋体"/>
                <w:szCs w:val="21"/>
              </w:rPr>
            </w:pPr>
            <w:r>
              <w:rPr>
                <w:rFonts w:hint="eastAsia" w:ascii="新宋体" w:hAnsi="新宋体" w:eastAsia="新宋体" w:cs="新宋体"/>
                <w:szCs w:val="21"/>
              </w:rPr>
              <w:t>项目实施人员配置方案分（满分20分）</w:t>
            </w:r>
          </w:p>
        </w:tc>
        <w:tc>
          <w:tcPr>
            <w:tcW w:w="6095" w:type="dxa"/>
            <w:vAlign w:val="center"/>
          </w:tcPr>
          <w:p>
            <w:pPr>
              <w:spacing w:line="360" w:lineRule="exact"/>
              <w:ind w:firstLine="219" w:firstLineChars="104"/>
              <w:rPr>
                <w:rFonts w:hint="eastAsia" w:ascii="宋体" w:hAnsi="宋体" w:eastAsia="宋体" w:cs="宋体"/>
                <w:bCs/>
                <w:sz w:val="21"/>
                <w:szCs w:val="21"/>
              </w:rPr>
            </w:pPr>
            <w:r>
              <w:rPr>
                <w:rFonts w:hint="eastAsia" w:ascii="宋体" w:hAnsi="宋体" w:eastAsia="宋体" w:cs="宋体"/>
                <w:b/>
                <w:sz w:val="21"/>
                <w:szCs w:val="21"/>
              </w:rPr>
              <w:t>一档（0分）：</w:t>
            </w:r>
            <w:r>
              <w:rPr>
                <w:rFonts w:hint="eastAsia" w:ascii="宋体" w:hAnsi="宋体" w:eastAsia="宋体" w:cs="宋体"/>
                <w:bCs/>
                <w:sz w:val="21"/>
                <w:szCs w:val="21"/>
              </w:rPr>
              <w:t>未提供项目实施人员配置方案（含项目实施人员配置表）的不得分；</w:t>
            </w:r>
          </w:p>
          <w:p>
            <w:pPr>
              <w:spacing w:line="360" w:lineRule="exact"/>
              <w:ind w:firstLine="219" w:firstLineChars="104"/>
              <w:rPr>
                <w:rFonts w:hint="eastAsia" w:ascii="宋体" w:hAnsi="宋体" w:eastAsia="宋体" w:cs="宋体"/>
                <w:bCs/>
                <w:sz w:val="21"/>
                <w:szCs w:val="21"/>
              </w:rPr>
            </w:pPr>
            <w:r>
              <w:rPr>
                <w:rFonts w:hint="eastAsia" w:ascii="宋体" w:hAnsi="宋体" w:eastAsia="宋体" w:cs="宋体"/>
                <w:b/>
                <w:sz w:val="21"/>
                <w:szCs w:val="21"/>
              </w:rPr>
              <w:t>二档（6分）：</w:t>
            </w:r>
            <w:r>
              <w:rPr>
                <w:rFonts w:hint="eastAsia" w:ascii="宋体" w:hAnsi="宋体" w:eastAsia="宋体" w:cs="宋体"/>
                <w:bCs/>
                <w:sz w:val="21"/>
                <w:szCs w:val="21"/>
              </w:rPr>
              <w:t>有简单的项目实施人员配置方案，项目实施人员配置一般，投入人员不少于6人。</w:t>
            </w:r>
          </w:p>
          <w:p>
            <w:pPr>
              <w:spacing w:line="360" w:lineRule="exact"/>
              <w:ind w:firstLine="219" w:firstLineChars="104"/>
              <w:rPr>
                <w:rFonts w:hint="eastAsia" w:ascii="宋体" w:hAnsi="宋体" w:eastAsia="宋体" w:cs="宋体"/>
                <w:bCs/>
                <w:sz w:val="21"/>
                <w:szCs w:val="21"/>
              </w:rPr>
            </w:pPr>
            <w:r>
              <w:rPr>
                <w:rFonts w:hint="eastAsia" w:ascii="宋体" w:hAnsi="宋体" w:eastAsia="宋体" w:cs="宋体"/>
                <w:b/>
                <w:sz w:val="21"/>
                <w:szCs w:val="21"/>
              </w:rPr>
              <w:t>三档（12分）：</w:t>
            </w:r>
            <w:r>
              <w:rPr>
                <w:rFonts w:hint="eastAsia" w:ascii="宋体" w:hAnsi="宋体" w:eastAsia="宋体" w:cs="宋体"/>
                <w:bCs/>
                <w:sz w:val="21"/>
                <w:szCs w:val="21"/>
              </w:rPr>
              <w:t>提供较完善的项目实施人员配置方案，项目实施人员配置较齐全，投入人员不少于10人，其中3名具有</w:t>
            </w:r>
            <w:r>
              <w:rPr>
                <w:rFonts w:hint="eastAsia" w:ascii="宋体" w:hAnsi="宋体" w:eastAsia="宋体" w:cs="宋体"/>
                <w:sz w:val="21"/>
                <w:szCs w:val="21"/>
              </w:rPr>
              <w:t>助理工程师证明，提供助理工程师职称证书</w:t>
            </w:r>
            <w:r>
              <w:rPr>
                <w:rFonts w:hint="eastAsia" w:ascii="宋体" w:hAnsi="宋体" w:eastAsia="宋体" w:cs="宋体"/>
                <w:bCs/>
                <w:sz w:val="21"/>
                <w:szCs w:val="21"/>
              </w:rPr>
              <w:t>。</w:t>
            </w:r>
          </w:p>
          <w:p>
            <w:pPr>
              <w:spacing w:line="360" w:lineRule="exact"/>
              <w:ind w:firstLine="219" w:firstLineChars="104"/>
              <w:rPr>
                <w:rFonts w:hint="eastAsia" w:ascii="宋体" w:hAnsi="宋体" w:eastAsia="宋体" w:cs="宋体"/>
                <w:sz w:val="21"/>
                <w:szCs w:val="21"/>
              </w:rPr>
            </w:pPr>
            <w:r>
              <w:rPr>
                <w:rFonts w:hint="eastAsia" w:ascii="宋体" w:hAnsi="宋体" w:eastAsia="宋体" w:cs="宋体"/>
                <w:b/>
                <w:sz w:val="21"/>
                <w:szCs w:val="21"/>
              </w:rPr>
              <w:t>四档（20分）：</w:t>
            </w:r>
            <w:r>
              <w:rPr>
                <w:rFonts w:hint="eastAsia" w:ascii="宋体" w:hAnsi="宋体" w:eastAsia="宋体" w:cs="宋体"/>
                <w:bCs/>
                <w:sz w:val="21"/>
                <w:szCs w:val="21"/>
              </w:rPr>
              <w:t>提供合理可行的项目实施人员配置方案，项目实施人员配置齐全，职责明确，专业工种上岗资质齐备，人员素质、技术能力、经验满足项目要求，投入人员不少于15人，其中3名具有</w:t>
            </w:r>
            <w:r>
              <w:rPr>
                <w:rFonts w:hint="eastAsia" w:ascii="宋体" w:hAnsi="宋体" w:eastAsia="宋体" w:cs="宋体"/>
                <w:sz w:val="21"/>
                <w:szCs w:val="21"/>
              </w:rPr>
              <w:t>助理工程师证明，2名具有工程师证明（机械/电气相关专业），提供相关工程师职称证书</w:t>
            </w:r>
            <w:r>
              <w:rPr>
                <w:rFonts w:hint="eastAsia" w:ascii="宋体" w:hAnsi="宋体" w:eastAsia="宋体" w:cs="宋体"/>
                <w:bCs/>
                <w:sz w:val="21"/>
                <w:szCs w:val="21"/>
              </w:rPr>
              <w:t>。</w:t>
            </w:r>
          </w:p>
        </w:tc>
        <w:tc>
          <w:tcPr>
            <w:tcW w:w="850" w:type="dxa"/>
            <w:vAlign w:val="center"/>
          </w:tcPr>
          <w:p>
            <w:pPr>
              <w:spacing w:line="360" w:lineRule="auto"/>
              <w:jc w:val="center"/>
              <w:rPr>
                <w:rFonts w:hint="eastAsia" w:ascii="宋体" w:hAnsi="宋体"/>
                <w:szCs w:val="21"/>
              </w:rPr>
            </w:pPr>
            <w:r>
              <w:rPr>
                <w:rFonts w:hint="eastAsia" w:ascii="新宋体" w:hAnsi="新宋体" w:eastAsia="新宋体" w:cs="新宋体"/>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1" w:type="dxa"/>
            <w:vAlign w:val="center"/>
          </w:tcPr>
          <w:p>
            <w:pPr>
              <w:adjustRightInd w:val="0"/>
              <w:spacing w:line="400" w:lineRule="exact"/>
              <w:ind w:left="-105" w:leftChars="-50" w:right="-105" w:rightChars="-50"/>
              <w:jc w:val="center"/>
              <w:textAlignment w:val="baseline"/>
              <w:rPr>
                <w:rFonts w:hint="eastAsia" w:ascii="宋体" w:hAnsi="宋体"/>
                <w:bCs/>
                <w:kern w:val="0"/>
                <w:szCs w:val="21"/>
              </w:rPr>
            </w:pPr>
            <w:r>
              <w:rPr>
                <w:rFonts w:hint="eastAsia" w:ascii="宋体" w:hAnsi="宋体"/>
                <w:bCs/>
                <w:kern w:val="0"/>
                <w:szCs w:val="21"/>
              </w:rPr>
              <w:t>2.3</w:t>
            </w:r>
          </w:p>
        </w:tc>
        <w:tc>
          <w:tcPr>
            <w:tcW w:w="1611" w:type="dxa"/>
            <w:vAlign w:val="center"/>
          </w:tcPr>
          <w:p>
            <w:pPr>
              <w:spacing w:line="360" w:lineRule="auto"/>
              <w:ind w:firstLine="218" w:firstLineChars="104"/>
              <w:rPr>
                <w:rFonts w:hint="eastAsia" w:ascii="宋体" w:hAnsi="宋体" w:cs="宋体"/>
                <w:bCs/>
                <w:szCs w:val="21"/>
              </w:rPr>
            </w:pPr>
            <w:r>
              <w:rPr>
                <w:rFonts w:hint="eastAsia" w:ascii="宋体" w:hAnsi="宋体" w:cs="宋体"/>
                <w:bCs/>
                <w:szCs w:val="21"/>
              </w:rPr>
              <w:t>售后服务保障分（满分15）</w:t>
            </w:r>
          </w:p>
        </w:tc>
        <w:tc>
          <w:tcPr>
            <w:tcW w:w="6095" w:type="dxa"/>
            <w:vAlign w:val="center"/>
          </w:tcPr>
          <w:p>
            <w:pPr>
              <w:spacing w:line="360" w:lineRule="exact"/>
              <w:ind w:firstLine="218" w:firstLineChars="104"/>
              <w:rPr>
                <w:rFonts w:hint="eastAsia" w:ascii="宋体" w:hAnsi="宋体" w:eastAsia="宋体" w:cs="宋体"/>
                <w:bCs/>
                <w:sz w:val="21"/>
                <w:szCs w:val="21"/>
              </w:rPr>
            </w:pPr>
            <w:r>
              <w:rPr>
                <w:rFonts w:hint="eastAsia" w:ascii="宋体" w:hAnsi="宋体" w:eastAsia="宋体" w:cs="宋体"/>
                <w:bCs/>
                <w:sz w:val="21"/>
                <w:szCs w:val="21"/>
              </w:rPr>
              <w:t>由评委在打分前根据各供应商提供的售后服务措施方案（包含①售后技术支持方案、②质量保证承诺、③免费维护期、④服务能力及保障措施、⑤用户培训方案等多方面详细描述）进行优劣对比。</w:t>
            </w:r>
          </w:p>
          <w:p>
            <w:pPr>
              <w:spacing w:line="360" w:lineRule="exact"/>
              <w:ind w:firstLine="218" w:firstLineChars="104"/>
              <w:rPr>
                <w:rFonts w:hint="eastAsia" w:ascii="宋体" w:hAnsi="宋体" w:eastAsia="宋体" w:cs="宋体"/>
                <w:bCs/>
                <w:sz w:val="21"/>
                <w:szCs w:val="21"/>
              </w:rPr>
            </w:pPr>
            <w:r>
              <w:rPr>
                <w:rFonts w:hint="eastAsia" w:ascii="宋体" w:hAnsi="宋体" w:eastAsia="宋体" w:cs="宋体"/>
                <w:bCs/>
                <w:sz w:val="21"/>
                <w:szCs w:val="21"/>
              </w:rPr>
              <w:t>（1）根据以上5项评定内容售后服务方案综合评定为一般的得5分；</w:t>
            </w:r>
            <w:bookmarkStart w:id="0" w:name="_GoBack"/>
            <w:bookmarkEnd w:id="0"/>
          </w:p>
          <w:p>
            <w:pPr>
              <w:spacing w:line="360" w:lineRule="exact"/>
              <w:ind w:firstLine="218" w:firstLineChars="104"/>
              <w:rPr>
                <w:rFonts w:hint="eastAsia" w:ascii="宋体" w:hAnsi="宋体" w:eastAsia="宋体" w:cs="宋体"/>
                <w:bCs/>
                <w:sz w:val="21"/>
                <w:szCs w:val="21"/>
              </w:rPr>
            </w:pPr>
            <w:r>
              <w:rPr>
                <w:rFonts w:hint="eastAsia" w:ascii="宋体" w:hAnsi="宋体" w:eastAsia="宋体" w:cs="宋体"/>
                <w:bCs/>
                <w:sz w:val="21"/>
                <w:szCs w:val="21"/>
              </w:rPr>
              <w:t>（2）根据以上5项评定内容售后服务方案综合评定为良好的得10分；</w:t>
            </w:r>
          </w:p>
          <w:p>
            <w:pPr>
              <w:spacing w:line="360" w:lineRule="exact"/>
              <w:ind w:firstLine="218" w:firstLineChars="104"/>
              <w:rPr>
                <w:rFonts w:hint="eastAsia" w:ascii="宋体" w:hAnsi="宋体" w:eastAsia="宋体" w:cs="宋体"/>
                <w:bCs/>
                <w:sz w:val="21"/>
                <w:szCs w:val="21"/>
              </w:rPr>
            </w:pPr>
            <w:r>
              <w:rPr>
                <w:rFonts w:hint="eastAsia" w:ascii="宋体" w:hAnsi="宋体" w:eastAsia="宋体" w:cs="宋体"/>
                <w:bCs/>
                <w:sz w:val="21"/>
                <w:szCs w:val="21"/>
              </w:rPr>
              <w:t>（3）根据以上5项评定内容售后服务方案综合评定为优秀的得15分。</w:t>
            </w:r>
          </w:p>
        </w:tc>
        <w:tc>
          <w:tcPr>
            <w:tcW w:w="850" w:type="dxa"/>
            <w:vAlign w:val="center"/>
          </w:tcPr>
          <w:p>
            <w:pPr>
              <w:spacing w:line="400" w:lineRule="exact"/>
              <w:jc w:val="center"/>
              <w:rPr>
                <w:rFonts w:hint="eastAsia" w:ascii="宋体" w:hAnsi="宋体" w:cs="宋体"/>
                <w:kern w:val="0"/>
                <w:szCs w:val="21"/>
              </w:rPr>
            </w:pPr>
            <w:r>
              <w:rPr>
                <w:rFonts w:hint="eastAsia" w:ascii="宋体" w:hAnsi="宋体" w:cs="宋体"/>
                <w:kern w:val="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11" w:type="dxa"/>
            <w:vAlign w:val="center"/>
          </w:tcPr>
          <w:p>
            <w:pPr>
              <w:adjustRightInd w:val="0"/>
              <w:spacing w:line="400" w:lineRule="exact"/>
              <w:ind w:left="-105" w:leftChars="-50" w:right="-105" w:rightChars="-50"/>
              <w:jc w:val="center"/>
              <w:textAlignment w:val="baseline"/>
              <w:rPr>
                <w:rFonts w:hint="eastAsia" w:ascii="宋体" w:hAnsi="宋体"/>
                <w:bCs/>
                <w:kern w:val="0"/>
                <w:szCs w:val="21"/>
              </w:rPr>
            </w:pPr>
            <w:r>
              <w:rPr>
                <w:rFonts w:hint="eastAsia" w:ascii="宋体" w:hAnsi="宋体"/>
                <w:bCs/>
                <w:kern w:val="0"/>
                <w:szCs w:val="21"/>
              </w:rPr>
              <w:t>2.4</w:t>
            </w:r>
          </w:p>
        </w:tc>
        <w:tc>
          <w:tcPr>
            <w:tcW w:w="1611" w:type="dxa"/>
            <w:vAlign w:val="center"/>
          </w:tcPr>
          <w:p>
            <w:pPr>
              <w:spacing w:line="360" w:lineRule="auto"/>
              <w:jc w:val="center"/>
              <w:rPr>
                <w:rFonts w:hint="eastAsia" w:ascii="宋体" w:hAnsi="宋体" w:cs="宋体"/>
                <w:bCs/>
                <w:szCs w:val="21"/>
              </w:rPr>
            </w:pPr>
            <w:r>
              <w:rPr>
                <w:rFonts w:hint="eastAsia" w:ascii="新宋体" w:hAnsi="新宋体" w:eastAsia="新宋体" w:cs="新宋体"/>
                <w:szCs w:val="21"/>
              </w:rPr>
              <w:t>应急保障服务方案（满分10分）</w:t>
            </w:r>
          </w:p>
        </w:tc>
        <w:tc>
          <w:tcPr>
            <w:tcW w:w="6095" w:type="dxa"/>
            <w:vAlign w:val="center"/>
          </w:tcPr>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一档（0分）：未提供应急保障方案的不得分；</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二档（3分）：提供应急保障服务方案，有服务响应体系。</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三档（6分）：方案中有明确的应急事件总体处置预案、电梯事故防范措施、电梯事故救援方案，符合项目需求。</w:t>
            </w:r>
          </w:p>
          <w:p>
            <w:pPr>
              <w:spacing w:line="360" w:lineRule="exact"/>
              <w:ind w:firstLine="420" w:firstLineChars="200"/>
              <w:rPr>
                <w:rFonts w:hint="eastAsia" w:ascii="宋体" w:hAnsi="宋体" w:eastAsia="宋体" w:cs="宋体"/>
                <w:bCs/>
                <w:sz w:val="21"/>
                <w:szCs w:val="21"/>
              </w:rPr>
            </w:pPr>
            <w:r>
              <w:rPr>
                <w:rFonts w:hint="eastAsia" w:ascii="宋体" w:hAnsi="宋体" w:eastAsia="宋体" w:cs="宋体"/>
                <w:sz w:val="21"/>
                <w:szCs w:val="21"/>
              </w:rPr>
              <w:t>四档（10分）：方案中有详细可行的应急事件总体处置预案、电梯事故防范措施、电梯事故救援方案，有针对多种常规故障问题出具详细的故障排查方法、</w:t>
            </w:r>
            <w:r>
              <w:rPr>
                <w:rFonts w:hint="eastAsia" w:ascii="宋体" w:hAnsi="宋体" w:eastAsia="宋体" w:cs="宋体"/>
                <w:bCs/>
                <w:sz w:val="21"/>
                <w:szCs w:val="21"/>
              </w:rPr>
              <w:t>排除方式、</w:t>
            </w:r>
            <w:r>
              <w:rPr>
                <w:rFonts w:hint="eastAsia" w:ascii="宋体" w:hAnsi="宋体" w:eastAsia="宋体" w:cs="宋体"/>
                <w:sz w:val="21"/>
                <w:szCs w:val="21"/>
              </w:rPr>
              <w:t>设备运行状况检查方案；现场故障处理支持服务人员配备、故障响应时间和应急保障承诺优于采购文件的要求。</w:t>
            </w:r>
          </w:p>
        </w:tc>
        <w:tc>
          <w:tcPr>
            <w:tcW w:w="850" w:type="dxa"/>
            <w:vAlign w:val="center"/>
          </w:tcPr>
          <w:p>
            <w:pPr>
              <w:spacing w:line="400" w:lineRule="exact"/>
              <w:jc w:val="center"/>
              <w:rPr>
                <w:rFonts w:hint="eastAsia" w:ascii="宋体" w:hAnsi="宋体" w:cs="Tahoma"/>
                <w:kern w:val="0"/>
                <w:szCs w:val="21"/>
              </w:rPr>
            </w:pPr>
            <w:r>
              <w:rPr>
                <w:rFonts w:hint="eastAsia" w:ascii="宋体" w:hAnsi="宋体" w:cs="宋体"/>
                <w:kern w:val="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711" w:type="dxa"/>
            <w:vAlign w:val="center"/>
          </w:tcPr>
          <w:p>
            <w:pPr>
              <w:widowControl/>
              <w:spacing w:line="400" w:lineRule="exact"/>
              <w:jc w:val="center"/>
              <w:rPr>
                <w:rFonts w:ascii="宋体" w:hAnsi="宋体" w:cs="Tahoma"/>
                <w:b/>
                <w:bCs/>
                <w:kern w:val="0"/>
                <w:szCs w:val="21"/>
              </w:rPr>
            </w:pPr>
            <w:r>
              <w:rPr>
                <w:rFonts w:hint="eastAsia" w:ascii="宋体" w:hAnsi="宋体" w:cs="Tahoma"/>
                <w:b/>
                <w:bCs/>
                <w:kern w:val="0"/>
                <w:szCs w:val="21"/>
              </w:rPr>
              <w:t>3</w:t>
            </w:r>
          </w:p>
        </w:tc>
        <w:tc>
          <w:tcPr>
            <w:tcW w:w="1611" w:type="dxa"/>
            <w:vAlign w:val="center"/>
          </w:tcPr>
          <w:p>
            <w:pPr>
              <w:widowControl/>
              <w:spacing w:line="400" w:lineRule="exact"/>
              <w:jc w:val="center"/>
              <w:rPr>
                <w:rFonts w:hint="eastAsia" w:ascii="宋体" w:hAnsi="宋体" w:cs="Courier New"/>
                <w:b/>
                <w:bCs/>
                <w:szCs w:val="21"/>
              </w:rPr>
            </w:pPr>
            <w:r>
              <w:rPr>
                <w:rFonts w:hint="eastAsia" w:ascii="宋体" w:hAnsi="宋体" w:cs="Courier New"/>
                <w:b/>
                <w:bCs/>
                <w:szCs w:val="21"/>
              </w:rPr>
              <w:t>商务分</w:t>
            </w:r>
          </w:p>
        </w:tc>
        <w:tc>
          <w:tcPr>
            <w:tcW w:w="6945" w:type="dxa"/>
            <w:gridSpan w:val="2"/>
            <w:vAlign w:val="center"/>
          </w:tcPr>
          <w:p>
            <w:pPr>
              <w:widowControl/>
              <w:spacing w:line="40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1" w:type="dxa"/>
            <w:vAlign w:val="center"/>
          </w:tcPr>
          <w:p>
            <w:pPr>
              <w:widowControl/>
              <w:spacing w:line="400" w:lineRule="exact"/>
              <w:jc w:val="center"/>
              <w:rPr>
                <w:rFonts w:ascii="宋体" w:hAnsi="宋体" w:cs="Tahoma"/>
                <w:kern w:val="0"/>
                <w:szCs w:val="21"/>
              </w:rPr>
            </w:pPr>
            <w:r>
              <w:rPr>
                <w:rFonts w:ascii="宋体" w:hAnsi="宋体" w:cs="Tahoma"/>
                <w:kern w:val="0"/>
                <w:szCs w:val="21"/>
              </w:rPr>
              <w:t>3.1</w:t>
            </w:r>
          </w:p>
        </w:tc>
        <w:tc>
          <w:tcPr>
            <w:tcW w:w="1611" w:type="dxa"/>
            <w:vAlign w:val="center"/>
          </w:tcPr>
          <w:p>
            <w:pPr>
              <w:widowControl/>
              <w:spacing w:line="360" w:lineRule="auto"/>
              <w:jc w:val="center"/>
              <w:rPr>
                <w:rFonts w:ascii="宋体" w:hAnsi="宋体" w:cs="Courier New"/>
                <w:bCs/>
                <w:szCs w:val="21"/>
              </w:rPr>
            </w:pPr>
            <w:r>
              <w:rPr>
                <w:rFonts w:hint="eastAsia" w:ascii="宋体" w:hAnsi="宋体" w:cs="宋体"/>
                <w:kern w:val="0"/>
                <w:szCs w:val="21"/>
              </w:rPr>
              <w:t>业绩分（满分5分）</w:t>
            </w:r>
          </w:p>
        </w:tc>
        <w:tc>
          <w:tcPr>
            <w:tcW w:w="6095" w:type="dxa"/>
            <w:vAlign w:val="top"/>
          </w:tcPr>
          <w:p>
            <w:pPr>
              <w:pStyle w:val="5"/>
              <w:spacing w:line="36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供应商202</w:t>
            </w:r>
            <w:r>
              <w:rPr>
                <w:rFonts w:hint="eastAsia" w:ascii="宋体" w:hAnsi="宋体" w:eastAsia="宋体" w:cs="宋体"/>
                <w:bCs/>
                <w:sz w:val="21"/>
                <w:szCs w:val="21"/>
                <w:lang w:val="en-US" w:eastAsia="zh-CN"/>
              </w:rPr>
              <w:t>3</w:t>
            </w:r>
            <w:r>
              <w:rPr>
                <w:rFonts w:hint="eastAsia" w:ascii="宋体" w:hAnsi="宋体" w:eastAsia="宋体" w:cs="宋体"/>
                <w:bCs/>
                <w:sz w:val="21"/>
                <w:szCs w:val="21"/>
              </w:rPr>
              <w:t>年1月1日至首次响应文件提交截止时间，从事过同类维保项目的业绩，每个得</w:t>
            </w:r>
            <w:r>
              <w:rPr>
                <w:rFonts w:hint="eastAsia" w:ascii="宋体" w:hAnsi="宋体" w:eastAsia="宋体" w:cs="宋体"/>
                <w:bCs/>
                <w:sz w:val="21"/>
                <w:szCs w:val="21"/>
                <w:lang w:val="en-US" w:eastAsia="zh-CN"/>
              </w:rPr>
              <w:t>1</w:t>
            </w:r>
            <w:r>
              <w:rPr>
                <w:rFonts w:hint="eastAsia" w:ascii="宋体" w:hAnsi="宋体" w:eastAsia="宋体" w:cs="宋体"/>
                <w:bCs/>
                <w:sz w:val="21"/>
                <w:szCs w:val="21"/>
              </w:rPr>
              <w:t>分，满分5分。</w:t>
            </w:r>
          </w:p>
          <w:p>
            <w:pPr>
              <w:pStyle w:val="5"/>
              <w:spacing w:line="360" w:lineRule="exact"/>
              <w:ind w:firstLine="422" w:firstLineChars="200"/>
              <w:jc w:val="left"/>
              <w:rPr>
                <w:rFonts w:hint="eastAsia" w:ascii="宋体" w:hAnsi="宋体" w:eastAsia="宋体" w:cs="宋体"/>
                <w:bCs/>
                <w:sz w:val="21"/>
                <w:szCs w:val="21"/>
              </w:rPr>
            </w:pPr>
            <w:r>
              <w:rPr>
                <w:rFonts w:hint="eastAsia" w:ascii="宋体" w:hAnsi="宋体" w:eastAsia="宋体" w:cs="宋体"/>
                <w:b/>
                <w:sz w:val="21"/>
                <w:szCs w:val="21"/>
              </w:rPr>
              <w:t>注：响应标文件提供合同或中标（成交）通知书复印件并加盖供应商公章，否则不计分。</w:t>
            </w:r>
          </w:p>
        </w:tc>
        <w:tc>
          <w:tcPr>
            <w:tcW w:w="850" w:type="dxa"/>
            <w:vAlign w:val="center"/>
          </w:tcPr>
          <w:p>
            <w:pPr>
              <w:widowControl/>
              <w:spacing w:line="360" w:lineRule="auto"/>
              <w:jc w:val="center"/>
              <w:rPr>
                <w:rFonts w:ascii="宋体" w:hAnsi="宋体" w:cs="Tahoma"/>
                <w:kern w:val="0"/>
                <w:szCs w:val="21"/>
              </w:rPr>
            </w:pPr>
            <w:r>
              <w:rPr>
                <w:rFonts w:hint="eastAsia" w:ascii="新宋体" w:hAnsi="新宋体" w:eastAsia="新宋体" w:cs="新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8417" w:type="dxa"/>
            <w:gridSpan w:val="3"/>
            <w:vAlign w:val="top"/>
          </w:tcPr>
          <w:p>
            <w:pPr>
              <w:spacing w:line="400" w:lineRule="exact"/>
              <w:rPr>
                <w:rFonts w:ascii="宋体" w:hAnsi="宋体" w:cs="Courier New"/>
                <w:bCs/>
                <w:szCs w:val="21"/>
              </w:rPr>
            </w:pPr>
            <w:r>
              <w:rPr>
                <w:rFonts w:ascii="宋体" w:hAnsi="宋体" w:cs="Courier New"/>
                <w:bCs/>
                <w:szCs w:val="21"/>
              </w:rPr>
              <w:t>总得分＝1＋2＋3</w:t>
            </w:r>
          </w:p>
        </w:tc>
        <w:tc>
          <w:tcPr>
            <w:tcW w:w="850" w:type="dxa"/>
            <w:vAlign w:val="center"/>
          </w:tcPr>
          <w:p>
            <w:pPr>
              <w:widowControl/>
              <w:spacing w:line="400" w:lineRule="exact"/>
              <w:jc w:val="center"/>
              <w:rPr>
                <w:rFonts w:ascii="宋体" w:hAnsi="宋体" w:cs="Tahoma"/>
                <w:kern w:val="0"/>
                <w:szCs w:val="21"/>
              </w:rPr>
            </w:pP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4C18D5"/>
    <w:rsid w:val="72710B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adjustRightInd w:val="0"/>
      <w:spacing w:before="120" w:line="360" w:lineRule="auto"/>
      <w:ind w:left="2155" w:hanging="1078"/>
      <w:outlineLvl w:val="3"/>
    </w:pPr>
    <w:rPr>
      <w:rFonts w:ascii="Arial" w:eastAsia="黑体"/>
      <w:kern w:val="0"/>
      <w:sz w:val="28"/>
      <w:szCs w:val="20"/>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Indent"/>
    <w:basedOn w:val="1"/>
    <w:uiPriority w:val="0"/>
    <w:pPr>
      <w:ind w:firstLine="420"/>
    </w:pPr>
    <w:rPr>
      <w:szCs w:val="20"/>
    </w:rPr>
  </w:style>
  <w:style w:type="paragraph" w:styleId="5">
    <w:name w:val="Plain Text"/>
    <w:basedOn w:val="1"/>
    <w:next w:val="4"/>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2025-06-23T09:22:24Z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