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ascii="宋体" w:hAnsi="宋体"/>
          <w:b w:val="0"/>
          <w:color w:val="auto"/>
          <w:sz w:val="32"/>
          <w:szCs w:val="32"/>
          <w:highlight w:val="none"/>
        </w:rPr>
      </w:pPr>
      <w:r>
        <w:rPr>
          <w:rFonts w:hint="eastAsia" w:ascii="宋体" w:hAnsi="宋体"/>
          <w:b w:val="0"/>
          <w:color w:val="auto"/>
          <w:sz w:val="32"/>
          <w:szCs w:val="32"/>
          <w:highlight w:val="none"/>
          <w:lang w:val="en-US" w:eastAsia="zh-CN"/>
        </w:rPr>
        <w:t>一、</w:t>
      </w:r>
      <w:bookmarkStart w:id="0" w:name="_GoBack"/>
      <w:bookmarkEnd w:id="0"/>
      <w:r>
        <w:rPr>
          <w:rFonts w:hint="eastAsia" w:ascii="宋体" w:hAnsi="宋体"/>
          <w:b w:val="0"/>
          <w:color w:val="auto"/>
          <w:sz w:val="32"/>
          <w:szCs w:val="32"/>
          <w:highlight w:val="none"/>
        </w:rPr>
        <w:t>评</w:t>
      </w:r>
      <w:r>
        <w:rPr>
          <w:rFonts w:hint="eastAsia" w:ascii="宋体" w:hAnsi="宋体"/>
          <w:b w:val="0"/>
          <w:color w:val="auto"/>
          <w:sz w:val="32"/>
          <w:szCs w:val="32"/>
          <w:highlight w:val="none"/>
          <w:lang w:val="en-US" w:eastAsia="zh-CN"/>
        </w:rPr>
        <w:t>分</w:t>
      </w:r>
      <w:r>
        <w:rPr>
          <w:rFonts w:hint="eastAsia" w:ascii="宋体" w:hAnsi="宋体"/>
          <w:b w:val="0"/>
          <w:color w:val="auto"/>
          <w:sz w:val="32"/>
          <w:szCs w:val="32"/>
          <w:highlight w:val="none"/>
        </w:rPr>
        <w:t>标准</w:t>
      </w:r>
    </w:p>
    <w:p>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tbl>
      <w:tblPr>
        <w:tblStyle w:val="6"/>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945"/>
        <w:gridCol w:w="5767"/>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805"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945"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5767"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845"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05" w:type="dxa"/>
            <w:noWrap w:val="0"/>
            <w:vAlign w:val="center"/>
          </w:tcPr>
          <w:p>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945" w:type="dxa"/>
            <w:noWrap w:val="0"/>
            <w:vAlign w:val="center"/>
          </w:tcPr>
          <w:p>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5767" w:type="dxa"/>
            <w:noWrap w:val="0"/>
            <w:vAlign w:val="center"/>
          </w:tcPr>
          <w:p>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1.</w:t>
            </w:r>
            <w:r>
              <w:rPr>
                <w:rFonts w:hint="eastAsia" w:ascii="宋体" w:hAnsi="宋体" w:eastAsia="宋体" w:cs="宋体"/>
                <w:bCs/>
                <w:color w:val="auto"/>
                <w:kern w:val="2"/>
                <w:sz w:val="21"/>
                <w:szCs w:val="21"/>
                <w:highlight w:val="none"/>
                <w:lang w:val="en-US" w:eastAsia="zh-CN" w:bidi="ar-SA"/>
              </w:rPr>
              <w:t>评审价为供应商的最后报价。</w:t>
            </w:r>
          </w:p>
          <w:p>
            <w:pPr>
              <w:pStyle w:val="4"/>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.价格分计算公式：</w:t>
            </w:r>
          </w:p>
          <w:p>
            <w:pPr>
              <w:spacing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（1）以进入评标有效报价的最后报价最低的供应商的价格为磋商基准价，价格分满分为</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0分。</w:t>
            </w:r>
          </w:p>
          <w:p>
            <w:pPr>
              <w:pStyle w:val="4"/>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hAnsi="宋体" w:cs="宋体"/>
                <w:color w:val="auto"/>
                <w:sz w:val="21"/>
                <w:szCs w:val="21"/>
                <w:highlight w:val="none"/>
              </w:rPr>
            </w:pPr>
            <w:r>
              <w:rPr>
                <w:rFonts w:hint="eastAsia" w:ascii="宋体" w:hAnsi="宋体" w:eastAsia="宋体" w:cs="宋体"/>
                <w:color w:val="auto"/>
                <w:sz w:val="21"/>
                <w:szCs w:val="21"/>
                <w:highlight w:val="none"/>
                <w:lang w:val="en-US" w:eastAsia="zh-CN"/>
              </w:rPr>
              <w:t>（2）报价得分=（最低报价/供应商最终报价）×10分</w:t>
            </w:r>
          </w:p>
        </w:tc>
        <w:tc>
          <w:tcPr>
            <w:tcW w:w="845"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05" w:type="dxa"/>
            <w:noWrap w:val="0"/>
            <w:vAlign w:val="center"/>
          </w:tcPr>
          <w:p>
            <w:pPr>
              <w:widowControl/>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w:t>
            </w:r>
          </w:p>
        </w:tc>
        <w:tc>
          <w:tcPr>
            <w:tcW w:w="1945" w:type="dxa"/>
            <w:noWrap w:val="0"/>
            <w:vAlign w:val="center"/>
          </w:tcPr>
          <w:p>
            <w:pPr>
              <w:widowControl/>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技术分</w:t>
            </w:r>
          </w:p>
        </w:tc>
        <w:tc>
          <w:tcPr>
            <w:tcW w:w="5767" w:type="dxa"/>
            <w:noWrap w:val="0"/>
            <w:vAlign w:val="top"/>
          </w:tcPr>
          <w:p>
            <w:pPr>
              <w:widowControl/>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评审因素</w:t>
            </w:r>
          </w:p>
        </w:tc>
        <w:tc>
          <w:tcPr>
            <w:tcW w:w="845" w:type="dxa"/>
            <w:noWrap w:val="0"/>
            <w:vAlign w:val="top"/>
          </w:tcPr>
          <w:p>
            <w:pPr>
              <w:widowControl/>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05" w:type="dxa"/>
            <w:noWrap w:val="0"/>
            <w:vAlign w:val="center"/>
          </w:tcPr>
          <w:p>
            <w:pPr>
              <w:widowControl/>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2.1</w:t>
            </w:r>
          </w:p>
        </w:tc>
        <w:tc>
          <w:tcPr>
            <w:tcW w:w="1945" w:type="dxa"/>
            <w:noWrap w:val="0"/>
            <w:vAlign w:val="center"/>
          </w:tcPr>
          <w:p>
            <w:pPr>
              <w:pStyle w:val="8"/>
              <w:spacing w:line="360" w:lineRule="auto"/>
              <w:rPr>
                <w:rFonts w:hint="eastAsia" w:ascii="宋体" w:hAnsi="宋体" w:eastAsia="宋体" w:cs="宋体"/>
                <w:b w:val="0"/>
                <w:color w:val="auto"/>
                <w:spacing w:val="7"/>
                <w:sz w:val="21"/>
                <w:szCs w:val="21"/>
                <w:highlight w:val="none"/>
                <w:lang w:eastAsia="zh-CN"/>
              </w:rPr>
            </w:pPr>
            <w:r>
              <w:rPr>
                <w:rFonts w:hint="eastAsia" w:ascii="宋体" w:hAnsi="宋体" w:eastAsia="宋体" w:cs="宋体"/>
                <w:color w:val="auto"/>
                <w:spacing w:val="7"/>
                <w:sz w:val="21"/>
                <w:szCs w:val="21"/>
                <w:highlight w:val="none"/>
                <w:lang w:val="en-US" w:eastAsia="zh-CN"/>
              </w:rPr>
              <w:t>重要</w:t>
            </w:r>
            <w:r>
              <w:rPr>
                <w:rFonts w:hint="eastAsia" w:ascii="宋体" w:hAnsi="宋体" w:eastAsia="宋体" w:cs="宋体"/>
                <w:color w:val="auto"/>
                <w:spacing w:val="7"/>
                <w:sz w:val="21"/>
                <w:szCs w:val="21"/>
                <w:highlight w:val="none"/>
                <w:lang w:eastAsia="zh-CN"/>
              </w:rPr>
              <w:t>技术服务响应</w:t>
            </w:r>
          </w:p>
        </w:tc>
        <w:tc>
          <w:tcPr>
            <w:tcW w:w="5767" w:type="dxa"/>
            <w:noWrap w:val="0"/>
            <w:vAlign w:val="center"/>
          </w:tcPr>
          <w:p>
            <w:pPr>
              <w:spacing w:line="360" w:lineRule="auto"/>
              <w:ind w:left="0" w:firstLine="420" w:firstLineChars="200"/>
              <w:rPr>
                <w:rFonts w:hint="default" w:ascii="宋体" w:hAnsi="宋体" w:eastAsia="宋体" w:cs="宋体"/>
                <w:b w:val="0"/>
                <w:color w:val="auto"/>
                <w:sz w:val="21"/>
                <w:szCs w:val="21"/>
                <w:highlight w:val="none"/>
                <w:lang w:val="en-US" w:eastAsia="zh-CN"/>
              </w:rPr>
            </w:pPr>
            <w:r>
              <w:rPr>
                <w:rFonts w:hint="eastAsia" w:ascii="宋体" w:hAnsi="宋体" w:cs="宋体"/>
                <w:color w:val="auto"/>
                <w:szCs w:val="21"/>
                <w:highlight w:val="none"/>
              </w:rPr>
              <w:t>根据供应商对采购需求中重要参数（标记“</w:t>
            </w:r>
            <w:r>
              <w:rPr>
                <w:rFonts w:hint="eastAsia" w:ascii="宋体" w:hAnsi="宋体" w:eastAsia="宋体"/>
                <w:color w:val="000000" w:themeColor="text1"/>
                <w:kern w:val="0"/>
                <w:szCs w:val="21"/>
                <w14:textFill>
                  <w14:solidFill>
                    <w14:schemeClr w14:val="tx1"/>
                  </w14:solidFill>
                </w14:textFill>
              </w:rPr>
              <w:t>▲</w:t>
            </w:r>
            <w:r>
              <w:rPr>
                <w:rFonts w:hint="eastAsia" w:ascii="宋体" w:hAnsi="宋体" w:cs="宋体"/>
                <w:color w:val="auto"/>
                <w:szCs w:val="21"/>
                <w:highlight w:val="none"/>
              </w:rPr>
              <w:t>”条款）的响应程度：“</w:t>
            </w:r>
            <w:r>
              <w:rPr>
                <w:rFonts w:hint="eastAsia" w:ascii="宋体" w:hAnsi="宋体" w:eastAsia="宋体"/>
                <w:color w:val="000000" w:themeColor="text1"/>
                <w:kern w:val="0"/>
                <w:szCs w:val="21"/>
                <w14:textFill>
                  <w14:solidFill>
                    <w14:schemeClr w14:val="tx1"/>
                  </w14:solidFill>
                </w14:textFill>
              </w:rPr>
              <w:t>▲</w:t>
            </w:r>
            <w:r>
              <w:rPr>
                <w:rFonts w:hint="eastAsia" w:ascii="宋体" w:hAnsi="宋体" w:cs="宋体"/>
                <w:color w:val="auto"/>
                <w:szCs w:val="21"/>
                <w:highlight w:val="none"/>
              </w:rPr>
              <w:t>”号技术参数完全满足或优于的得</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分，每负偏离一项扣</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分，扣完为止。本项目标记</w:t>
            </w:r>
            <w:r>
              <w:rPr>
                <w:rFonts w:hint="eastAsia" w:ascii="宋体" w:hAnsi="宋体" w:eastAsia="宋体"/>
                <w:color w:val="000000" w:themeColor="text1"/>
                <w:kern w:val="0"/>
                <w:szCs w:val="21"/>
                <w14:textFill>
                  <w14:solidFill>
                    <w14:schemeClr w14:val="tx1"/>
                  </w14:solidFill>
                </w14:textFill>
              </w:rPr>
              <w:t>▲</w:t>
            </w:r>
            <w:r>
              <w:rPr>
                <w:rFonts w:hint="eastAsia" w:ascii="宋体" w:hAnsi="宋体" w:cs="宋体"/>
                <w:color w:val="auto"/>
                <w:szCs w:val="21"/>
                <w:highlight w:val="none"/>
              </w:rPr>
              <w:t>号的重要参数</w:t>
            </w:r>
            <w:r>
              <w:rPr>
                <w:rFonts w:hint="eastAsia" w:ascii="宋体" w:hAnsi="宋体" w:cs="宋体"/>
                <w:color w:val="auto"/>
                <w:szCs w:val="21"/>
                <w:highlight w:val="none"/>
                <w:lang w:val="en-US" w:eastAsia="zh-CN"/>
              </w:rPr>
              <w:t>条款共计4</w:t>
            </w:r>
            <w:r>
              <w:rPr>
                <w:rFonts w:hint="eastAsia" w:ascii="宋体" w:hAnsi="宋体" w:cs="宋体"/>
                <w:color w:val="auto"/>
                <w:szCs w:val="21"/>
                <w:highlight w:val="none"/>
              </w:rPr>
              <w:t>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需提供新增物资功能系统截图，并加盖供应商公章）</w:t>
            </w:r>
          </w:p>
        </w:tc>
        <w:tc>
          <w:tcPr>
            <w:tcW w:w="845" w:type="dxa"/>
            <w:noWrap w:val="0"/>
            <w:vAlign w:val="center"/>
          </w:tcPr>
          <w:p>
            <w:pPr>
              <w:spacing w:line="360" w:lineRule="auto"/>
              <w:ind w:left="0" w:firstLine="0" w:firstLineChars="0"/>
              <w:jc w:val="center"/>
              <w:rPr>
                <w:rFonts w:hint="eastAsia" w:ascii="宋体" w:hAnsi="宋体" w:eastAsia="宋体" w:cs="宋体"/>
                <w:b w:val="0"/>
                <w:color w:val="auto"/>
                <w:kern w:val="2"/>
                <w:szCs w:val="21"/>
                <w:highlight w:val="none"/>
              </w:rPr>
            </w:pPr>
            <w:r>
              <w:rPr>
                <w:rFonts w:hint="eastAsia" w:ascii="宋体" w:hAnsi="宋体" w:cs="宋体"/>
                <w:color w:val="auto"/>
                <w:spacing w:val="0"/>
                <w:sz w:val="21"/>
                <w:szCs w:val="21"/>
                <w:highlight w:val="none"/>
                <w:lang w:val="en-US" w:eastAsia="zh-CN"/>
              </w:rPr>
              <w:t>20</w:t>
            </w:r>
            <w:r>
              <w:rPr>
                <w:rFonts w:hint="eastAsia" w:ascii="宋体" w:hAnsi="宋体" w:eastAsia="宋体" w:cs="宋体"/>
                <w:color w:val="auto"/>
                <w:spacing w:val="0"/>
                <w:sz w:val="21"/>
                <w:szCs w:val="21"/>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noWrap w:val="0"/>
            <w:vAlign w:val="center"/>
          </w:tcPr>
          <w:p>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2</w:t>
            </w:r>
          </w:p>
        </w:tc>
        <w:tc>
          <w:tcPr>
            <w:tcW w:w="1945" w:type="dxa"/>
            <w:noWrap w:val="0"/>
            <w:vAlign w:val="center"/>
          </w:tcPr>
          <w:p>
            <w:pPr>
              <w:pStyle w:val="8"/>
              <w:spacing w:line="360" w:lineRule="auto"/>
              <w:ind w:left="100" w:leftChars="0" w:right="100" w:rightChars="0"/>
              <w:jc w:val="center"/>
              <w:rPr>
                <w:rFonts w:hint="eastAsia" w:ascii="宋体" w:hAnsi="宋体" w:eastAsia="宋体" w:cs="宋体"/>
                <w:color w:val="auto"/>
                <w:kern w:val="2"/>
                <w:sz w:val="21"/>
                <w:szCs w:val="21"/>
                <w:highlight w:val="none"/>
              </w:rPr>
            </w:pPr>
            <w:r>
              <w:rPr>
                <w:rFonts w:hint="eastAsia" w:ascii="宋体" w:hAnsi="宋体" w:eastAsia="宋体" w:cs="宋体"/>
                <w:color w:val="auto"/>
                <w:spacing w:val="6"/>
                <w:sz w:val="21"/>
                <w:szCs w:val="21"/>
                <w:highlight w:val="none"/>
                <w:lang w:eastAsia="zh-CN"/>
              </w:rPr>
              <w:t>运维</w:t>
            </w:r>
            <w:r>
              <w:rPr>
                <w:rFonts w:hint="eastAsia" w:ascii="宋体" w:hAnsi="宋体" w:eastAsia="宋体" w:cs="宋体"/>
                <w:color w:val="auto"/>
                <w:spacing w:val="6"/>
                <w:sz w:val="21"/>
                <w:szCs w:val="21"/>
                <w:highlight w:val="none"/>
              </w:rPr>
              <w:t>实施方案</w:t>
            </w:r>
          </w:p>
        </w:tc>
        <w:tc>
          <w:tcPr>
            <w:tcW w:w="5767" w:type="dxa"/>
            <w:noWrap w:val="0"/>
            <w:vAlign w:val="top"/>
          </w:tcPr>
          <w:p>
            <w:pPr>
              <w:pStyle w:val="8"/>
              <w:spacing w:line="360" w:lineRule="auto"/>
              <w:ind w:left="100" w:right="100" w:firstLine="456"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9"/>
                <w:sz w:val="21"/>
                <w:szCs w:val="21"/>
                <w:highlight w:val="none"/>
                <w:lang w:eastAsia="zh-CN"/>
              </w:rPr>
              <w:t>供应商针对本项目采购需求制定实施方案。</w:t>
            </w:r>
          </w:p>
          <w:p>
            <w:pPr>
              <w:spacing w:line="360" w:lineRule="auto"/>
              <w:ind w:firstLine="432" w:firstLineChars="200"/>
              <w:rPr>
                <w:rFonts w:hint="eastAsia" w:ascii="宋体" w:hAnsi="宋体" w:eastAsia="宋体" w:cs="宋体"/>
                <w:bCs/>
                <w:color w:val="auto"/>
                <w:spacing w:val="3"/>
                <w:sz w:val="21"/>
                <w:szCs w:val="21"/>
                <w:highlight w:val="none"/>
              </w:rPr>
            </w:pPr>
            <w:r>
              <w:rPr>
                <w:rFonts w:hint="eastAsia" w:ascii="宋体" w:hAnsi="宋体" w:eastAsia="宋体" w:cs="宋体"/>
                <w:bCs/>
                <w:color w:val="auto"/>
                <w:spacing w:val="3"/>
                <w:sz w:val="21"/>
                <w:szCs w:val="21"/>
                <w:highlight w:val="none"/>
              </w:rPr>
              <w:t>一档（</w:t>
            </w:r>
            <w:r>
              <w:rPr>
                <w:rFonts w:hint="eastAsia" w:ascii="宋体" w:hAnsi="宋体" w:cs="宋体"/>
                <w:bCs/>
                <w:color w:val="auto"/>
                <w:spacing w:val="3"/>
                <w:sz w:val="21"/>
                <w:szCs w:val="21"/>
                <w:highlight w:val="none"/>
                <w:lang w:val="en-US" w:eastAsia="zh-CN"/>
              </w:rPr>
              <w:t>15</w:t>
            </w:r>
            <w:r>
              <w:rPr>
                <w:rFonts w:hint="eastAsia" w:ascii="宋体" w:hAnsi="宋体" w:eastAsia="宋体" w:cs="宋体"/>
                <w:bCs/>
                <w:color w:val="auto"/>
                <w:spacing w:val="3"/>
                <w:sz w:val="21"/>
                <w:szCs w:val="21"/>
                <w:highlight w:val="none"/>
              </w:rPr>
              <w:t>分）：方案能提供对项目的整体理解，正确列出实施本项目各项工作计划、工作标准及工作流程等，包括但不限于平台运维、升级和开发，使用部门培训计划等；</w:t>
            </w:r>
          </w:p>
          <w:p>
            <w:pPr>
              <w:spacing w:line="360" w:lineRule="auto"/>
              <w:ind w:firstLine="432" w:firstLineChars="200"/>
              <w:rPr>
                <w:rFonts w:hint="eastAsia" w:ascii="宋体" w:hAnsi="宋体" w:eastAsia="宋体" w:cs="宋体"/>
                <w:bCs/>
                <w:color w:val="auto"/>
                <w:spacing w:val="3"/>
                <w:sz w:val="21"/>
                <w:szCs w:val="21"/>
                <w:highlight w:val="none"/>
              </w:rPr>
            </w:pPr>
            <w:r>
              <w:rPr>
                <w:rFonts w:hint="eastAsia" w:ascii="宋体" w:hAnsi="宋体" w:eastAsia="宋体" w:cs="宋体"/>
                <w:bCs/>
                <w:color w:val="auto"/>
                <w:spacing w:val="3"/>
                <w:sz w:val="21"/>
                <w:szCs w:val="21"/>
                <w:highlight w:val="none"/>
              </w:rPr>
              <w:t>二档（</w:t>
            </w:r>
            <w:r>
              <w:rPr>
                <w:rFonts w:hint="eastAsia" w:ascii="宋体" w:hAnsi="宋体" w:cs="宋体"/>
                <w:bCs/>
                <w:color w:val="auto"/>
                <w:spacing w:val="3"/>
                <w:sz w:val="21"/>
                <w:szCs w:val="21"/>
                <w:highlight w:val="none"/>
                <w:lang w:val="en-US" w:eastAsia="zh-CN"/>
              </w:rPr>
              <w:t>20</w:t>
            </w:r>
            <w:r>
              <w:rPr>
                <w:rFonts w:hint="eastAsia" w:ascii="宋体" w:hAnsi="宋体" w:eastAsia="宋体" w:cs="宋体"/>
                <w:bCs/>
                <w:color w:val="auto"/>
                <w:spacing w:val="3"/>
                <w:sz w:val="21"/>
                <w:szCs w:val="21"/>
                <w:highlight w:val="none"/>
              </w:rPr>
              <w:t>分）：方案较详细，投标人对项目要求理解和表述清晰且正确，内容优于上一档，且符合</w:t>
            </w:r>
            <w:r>
              <w:rPr>
                <w:rFonts w:hint="eastAsia" w:ascii="宋体" w:hAnsi="宋体" w:cs="宋体"/>
                <w:bCs/>
                <w:color w:val="auto"/>
                <w:spacing w:val="3"/>
                <w:sz w:val="21"/>
                <w:szCs w:val="21"/>
                <w:highlight w:val="none"/>
                <w:lang w:val="en-US" w:eastAsia="zh-CN"/>
              </w:rPr>
              <w:t>医院信息化</w:t>
            </w:r>
            <w:r>
              <w:rPr>
                <w:rFonts w:hint="eastAsia" w:ascii="宋体" w:hAnsi="宋体" w:eastAsia="宋体" w:cs="宋体"/>
                <w:bCs/>
                <w:color w:val="auto"/>
                <w:spacing w:val="3"/>
                <w:sz w:val="21"/>
                <w:szCs w:val="21"/>
                <w:highlight w:val="none"/>
              </w:rPr>
              <w:t>建设及</w:t>
            </w:r>
            <w:r>
              <w:rPr>
                <w:rFonts w:hint="eastAsia" w:ascii="宋体" w:hAnsi="宋体" w:cs="宋体"/>
                <w:bCs/>
                <w:color w:val="auto"/>
                <w:spacing w:val="3"/>
                <w:sz w:val="21"/>
                <w:szCs w:val="21"/>
                <w:highlight w:val="none"/>
                <w:lang w:val="en-US" w:eastAsia="zh-CN"/>
              </w:rPr>
              <w:t>精益</w:t>
            </w:r>
            <w:r>
              <w:rPr>
                <w:rFonts w:hint="eastAsia" w:ascii="宋体" w:hAnsi="宋体" w:eastAsia="宋体" w:cs="宋体"/>
                <w:bCs/>
                <w:color w:val="auto"/>
                <w:spacing w:val="3"/>
                <w:sz w:val="21"/>
                <w:szCs w:val="21"/>
                <w:highlight w:val="none"/>
              </w:rPr>
              <w:t>管理特性，能够提供配合采购人后期建设</w:t>
            </w:r>
            <w:r>
              <w:rPr>
                <w:rFonts w:hint="eastAsia" w:ascii="宋体" w:hAnsi="宋体" w:cs="宋体"/>
                <w:bCs/>
                <w:color w:val="auto"/>
                <w:spacing w:val="3"/>
                <w:sz w:val="21"/>
                <w:szCs w:val="21"/>
                <w:highlight w:val="none"/>
                <w:lang w:val="en-US" w:eastAsia="zh-CN"/>
              </w:rPr>
              <w:t>智慧医院</w:t>
            </w:r>
            <w:r>
              <w:rPr>
                <w:rFonts w:hint="eastAsia" w:ascii="宋体" w:hAnsi="宋体" w:eastAsia="宋体" w:cs="宋体"/>
                <w:bCs/>
                <w:color w:val="auto"/>
                <w:spacing w:val="3"/>
                <w:sz w:val="21"/>
                <w:szCs w:val="21"/>
                <w:highlight w:val="none"/>
              </w:rPr>
              <w:t>的工作措施方案，持续改进实时更新计划等；</w:t>
            </w:r>
          </w:p>
          <w:p>
            <w:pPr>
              <w:spacing w:line="360" w:lineRule="auto"/>
              <w:ind w:firstLine="432" w:firstLineChars="200"/>
              <w:rPr>
                <w:rFonts w:hint="eastAsia" w:ascii="宋体" w:hAnsi="宋体" w:eastAsia="宋体" w:cs="宋体"/>
                <w:bCs/>
                <w:color w:val="auto"/>
                <w:spacing w:val="3"/>
                <w:sz w:val="21"/>
                <w:szCs w:val="21"/>
                <w:highlight w:val="none"/>
                <w:lang w:eastAsia="zh-CN"/>
              </w:rPr>
            </w:pPr>
            <w:r>
              <w:rPr>
                <w:rFonts w:hint="eastAsia" w:ascii="宋体" w:hAnsi="宋体" w:eastAsia="宋体" w:cs="宋体"/>
                <w:bCs/>
                <w:color w:val="auto"/>
                <w:spacing w:val="3"/>
                <w:sz w:val="21"/>
                <w:szCs w:val="21"/>
                <w:highlight w:val="none"/>
                <w:lang w:eastAsia="zh-CN"/>
              </w:rPr>
              <w:t>三档（</w:t>
            </w:r>
            <w:r>
              <w:rPr>
                <w:rFonts w:hint="eastAsia" w:ascii="宋体" w:hAnsi="宋体" w:cs="宋体"/>
                <w:bCs/>
                <w:color w:val="auto"/>
                <w:spacing w:val="3"/>
                <w:sz w:val="21"/>
                <w:szCs w:val="21"/>
                <w:highlight w:val="none"/>
                <w:lang w:val="en-US" w:eastAsia="zh-CN"/>
              </w:rPr>
              <w:t>25</w:t>
            </w:r>
            <w:r>
              <w:rPr>
                <w:rFonts w:hint="eastAsia" w:ascii="宋体" w:hAnsi="宋体" w:eastAsia="宋体" w:cs="宋体"/>
                <w:bCs/>
                <w:color w:val="auto"/>
                <w:spacing w:val="3"/>
                <w:sz w:val="21"/>
                <w:szCs w:val="21"/>
                <w:highlight w:val="none"/>
                <w:lang w:eastAsia="zh-CN"/>
              </w:rPr>
              <w:t>分）：方案科学合理，内容优于上一档，还能够结合同类项目实施的先进经验，为采购人提供不少于3项利于提升项目</w:t>
            </w:r>
            <w:r>
              <w:rPr>
                <w:rFonts w:hint="eastAsia" w:ascii="宋体" w:hAnsi="宋体" w:cs="宋体"/>
                <w:bCs/>
                <w:color w:val="auto"/>
                <w:spacing w:val="3"/>
                <w:sz w:val="21"/>
                <w:szCs w:val="21"/>
                <w:highlight w:val="none"/>
                <w:lang w:val="en-US" w:eastAsia="zh-CN"/>
              </w:rPr>
              <w:t>使用</w:t>
            </w:r>
            <w:r>
              <w:rPr>
                <w:rFonts w:hint="eastAsia" w:ascii="宋体" w:hAnsi="宋体" w:eastAsia="宋体" w:cs="宋体"/>
                <w:bCs/>
                <w:color w:val="auto"/>
                <w:spacing w:val="3"/>
                <w:sz w:val="21"/>
                <w:szCs w:val="21"/>
                <w:highlight w:val="none"/>
                <w:lang w:eastAsia="zh-CN"/>
              </w:rPr>
              <w:t>效果的服务，促进采购人相关工作</w:t>
            </w:r>
            <w:r>
              <w:rPr>
                <w:rFonts w:hint="eastAsia" w:ascii="宋体" w:hAnsi="宋体" w:cs="宋体"/>
                <w:bCs/>
                <w:color w:val="auto"/>
                <w:spacing w:val="3"/>
                <w:sz w:val="21"/>
                <w:szCs w:val="21"/>
                <w:highlight w:val="none"/>
                <w:lang w:val="en-US" w:eastAsia="zh-CN"/>
              </w:rPr>
              <w:t>效率</w:t>
            </w:r>
            <w:r>
              <w:rPr>
                <w:rFonts w:hint="eastAsia" w:ascii="宋体" w:hAnsi="宋体" w:eastAsia="宋体" w:cs="宋体"/>
                <w:bCs/>
                <w:color w:val="auto"/>
                <w:spacing w:val="3"/>
                <w:sz w:val="21"/>
                <w:szCs w:val="21"/>
                <w:highlight w:val="none"/>
                <w:lang w:eastAsia="zh-CN"/>
              </w:rPr>
              <w:t>的不断提升。要求合理化建议须正确、与项目相关且符合采购人</w:t>
            </w:r>
            <w:r>
              <w:rPr>
                <w:rFonts w:hint="eastAsia" w:ascii="宋体" w:hAnsi="宋体" w:cs="宋体"/>
                <w:bCs/>
                <w:color w:val="auto"/>
                <w:spacing w:val="3"/>
                <w:sz w:val="21"/>
                <w:szCs w:val="21"/>
                <w:highlight w:val="none"/>
                <w:lang w:val="en-US" w:eastAsia="zh-CN"/>
              </w:rPr>
              <w:t>医院高质量</w:t>
            </w:r>
            <w:r>
              <w:rPr>
                <w:rFonts w:hint="eastAsia" w:ascii="宋体" w:hAnsi="宋体" w:eastAsia="宋体" w:cs="宋体"/>
                <w:bCs/>
                <w:color w:val="auto"/>
                <w:spacing w:val="3"/>
                <w:sz w:val="21"/>
                <w:szCs w:val="21"/>
                <w:highlight w:val="none"/>
                <w:lang w:eastAsia="zh-CN"/>
              </w:rPr>
              <w:t>发展方向；</w:t>
            </w:r>
          </w:p>
          <w:p>
            <w:pPr>
              <w:pStyle w:val="8"/>
              <w:spacing w:line="360" w:lineRule="auto"/>
              <w:ind w:left="0" w:leftChars="0" w:right="100" w:rightChars="0" w:firstLine="43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lang w:val="en-US" w:eastAsia="zh-CN"/>
              </w:rPr>
              <w:t>注：未满足一档的得</w:t>
            </w:r>
            <w:r>
              <w:rPr>
                <w:rFonts w:hint="eastAsia" w:ascii="宋体" w:hAnsi="宋体" w:eastAsia="宋体" w:cs="宋体"/>
                <w:color w:val="auto"/>
                <w:spacing w:val="4"/>
                <w:sz w:val="21"/>
                <w:szCs w:val="21"/>
                <w:highlight w:val="none"/>
                <w:lang w:eastAsia="zh-CN"/>
              </w:rPr>
              <w:t>0分。</w:t>
            </w:r>
          </w:p>
        </w:tc>
        <w:tc>
          <w:tcPr>
            <w:tcW w:w="845" w:type="dxa"/>
            <w:noWrap w:val="0"/>
            <w:vAlign w:val="center"/>
          </w:tcPr>
          <w:p>
            <w:pPr>
              <w:pStyle w:val="8"/>
              <w:spacing w:line="360" w:lineRule="auto"/>
              <w:ind w:left="0" w:leftChars="0" w:right="100" w:rightChars="0"/>
              <w:jc w:val="both"/>
              <w:rPr>
                <w:rFonts w:hint="eastAsia" w:ascii="宋体" w:hAnsi="宋体" w:eastAsia="宋体" w:cs="宋体"/>
                <w:color w:val="auto"/>
                <w:kern w:val="0"/>
                <w:sz w:val="21"/>
                <w:szCs w:val="21"/>
                <w:highlight w:val="none"/>
              </w:rPr>
            </w:pPr>
            <w:r>
              <w:rPr>
                <w:rFonts w:hint="eastAsia" w:ascii="宋体" w:hAnsi="宋体" w:eastAsia="宋体" w:cs="宋体"/>
                <w:color w:val="auto"/>
                <w:spacing w:val="-4"/>
                <w:sz w:val="21"/>
                <w:szCs w:val="21"/>
                <w:highlight w:val="none"/>
                <w:lang w:eastAsia="zh-CN"/>
              </w:rPr>
              <w:t>2</w:t>
            </w:r>
            <w:r>
              <w:rPr>
                <w:rFonts w:hint="eastAsia" w:ascii="宋体" w:hAnsi="宋体" w:eastAsia="宋体" w:cs="宋体"/>
                <w:color w:val="auto"/>
                <w:spacing w:val="-4"/>
                <w:sz w:val="21"/>
                <w:szCs w:val="21"/>
                <w:highlight w:val="none"/>
                <w:lang w:val="en-US" w:eastAsia="zh-CN"/>
              </w:rPr>
              <w:t>5</w:t>
            </w:r>
            <w:r>
              <w:rPr>
                <w:rFonts w:hint="eastAsia" w:ascii="宋体" w:hAnsi="宋体" w:eastAsia="宋体" w:cs="宋体"/>
                <w:color w:val="auto"/>
                <w:spacing w:val="-4"/>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805" w:type="dxa"/>
            <w:noWrap w:val="0"/>
            <w:vAlign w:val="center"/>
          </w:tcPr>
          <w:p>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3</w:t>
            </w:r>
          </w:p>
        </w:tc>
        <w:tc>
          <w:tcPr>
            <w:tcW w:w="1945" w:type="dxa"/>
            <w:noWrap w:val="0"/>
            <w:vAlign w:val="center"/>
          </w:tcPr>
          <w:p>
            <w:pPr>
              <w:pStyle w:val="8"/>
              <w:spacing w:line="360" w:lineRule="auto"/>
              <w:ind w:left="100" w:leftChars="0" w:right="100" w:rightChars="0"/>
              <w:jc w:val="center"/>
              <w:rPr>
                <w:rFonts w:hint="eastAsia" w:ascii="宋体" w:hAnsi="宋体" w:eastAsia="宋体" w:cs="宋体"/>
                <w:color w:val="auto"/>
                <w:spacing w:val="6"/>
                <w:sz w:val="21"/>
                <w:szCs w:val="21"/>
                <w:highlight w:val="none"/>
                <w:lang w:eastAsia="zh-CN"/>
              </w:rPr>
            </w:pPr>
            <w:r>
              <w:rPr>
                <w:rFonts w:hint="eastAsia" w:ascii="宋体" w:hAnsi="宋体" w:eastAsia="宋体" w:cs="宋体"/>
                <w:color w:val="auto"/>
                <w:spacing w:val="8"/>
                <w:sz w:val="21"/>
                <w:szCs w:val="21"/>
                <w:highlight w:val="none"/>
              </w:rPr>
              <w:t>质量</w:t>
            </w:r>
            <w:r>
              <w:rPr>
                <w:rFonts w:hint="eastAsia" w:ascii="宋体" w:hAnsi="宋体" w:eastAsia="宋体" w:cs="宋体"/>
                <w:color w:val="auto"/>
                <w:spacing w:val="8"/>
                <w:sz w:val="21"/>
                <w:szCs w:val="21"/>
                <w:highlight w:val="none"/>
                <w:lang w:eastAsia="zh-CN"/>
              </w:rPr>
              <w:t>保障</w:t>
            </w:r>
            <w:r>
              <w:rPr>
                <w:rFonts w:hint="eastAsia" w:ascii="宋体" w:hAnsi="宋体" w:eastAsia="宋体" w:cs="宋体"/>
                <w:color w:val="auto"/>
                <w:spacing w:val="8"/>
                <w:sz w:val="21"/>
                <w:szCs w:val="21"/>
                <w:highlight w:val="none"/>
              </w:rPr>
              <w:t>措施</w:t>
            </w:r>
          </w:p>
        </w:tc>
        <w:tc>
          <w:tcPr>
            <w:tcW w:w="5767" w:type="dxa"/>
            <w:noWrap w:val="0"/>
            <w:vAlign w:val="top"/>
          </w:tcPr>
          <w:p>
            <w:pPr>
              <w:pStyle w:val="8"/>
              <w:spacing w:line="360" w:lineRule="auto"/>
              <w:ind w:left="100" w:right="100" w:firstLine="452"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根据供应商拟定的</w:t>
            </w:r>
            <w:r>
              <w:rPr>
                <w:rFonts w:hint="eastAsia" w:ascii="宋体" w:hAnsi="宋体" w:eastAsia="宋体" w:cs="宋体"/>
                <w:color w:val="auto"/>
                <w:spacing w:val="8"/>
                <w:sz w:val="21"/>
                <w:szCs w:val="21"/>
                <w:highlight w:val="none"/>
                <w:lang w:val="en-US" w:eastAsia="zh-CN"/>
              </w:rPr>
              <w:t>运维</w:t>
            </w:r>
            <w:r>
              <w:rPr>
                <w:rFonts w:hint="eastAsia" w:ascii="宋体" w:hAnsi="宋体" w:eastAsia="宋体" w:cs="宋体"/>
                <w:color w:val="auto"/>
                <w:spacing w:val="8"/>
                <w:sz w:val="21"/>
                <w:szCs w:val="21"/>
                <w:highlight w:val="none"/>
                <w:lang w:eastAsia="zh-CN"/>
              </w:rPr>
              <w:t>质量管控措施进行评审。</w:t>
            </w:r>
          </w:p>
          <w:p>
            <w:pPr>
              <w:pStyle w:val="8"/>
              <w:spacing w:line="360" w:lineRule="auto"/>
              <w:ind w:left="100" w:right="100" w:firstLine="436" w:firstLineChars="200"/>
              <w:rPr>
                <w:rFonts w:hint="eastAsia" w:ascii="宋体" w:hAnsi="宋体" w:eastAsia="宋体" w:cs="宋体"/>
                <w:color w:val="auto"/>
                <w:spacing w:val="4"/>
                <w:sz w:val="21"/>
                <w:szCs w:val="21"/>
                <w:highlight w:val="none"/>
                <w:lang w:val="en-US" w:eastAsia="zh-CN"/>
              </w:rPr>
            </w:pPr>
            <w:r>
              <w:rPr>
                <w:rFonts w:hint="eastAsia" w:ascii="宋体" w:hAnsi="宋体" w:eastAsia="宋体" w:cs="宋体"/>
                <w:color w:val="auto"/>
                <w:spacing w:val="4"/>
                <w:sz w:val="21"/>
                <w:szCs w:val="21"/>
                <w:highlight w:val="none"/>
                <w:lang w:eastAsia="zh-CN"/>
              </w:rPr>
              <w:t>一档（</w:t>
            </w:r>
            <w:r>
              <w:rPr>
                <w:rFonts w:hint="eastAsia" w:ascii="宋体" w:hAnsi="宋体" w:eastAsia="宋体" w:cs="宋体"/>
                <w:color w:val="auto"/>
                <w:spacing w:val="4"/>
                <w:sz w:val="21"/>
                <w:szCs w:val="21"/>
                <w:highlight w:val="none"/>
                <w:lang w:val="en-US" w:eastAsia="zh-CN"/>
              </w:rPr>
              <w:t>5</w:t>
            </w:r>
            <w:r>
              <w:rPr>
                <w:rFonts w:hint="eastAsia" w:ascii="宋体" w:hAnsi="宋体" w:eastAsia="宋体" w:cs="宋体"/>
                <w:color w:val="auto"/>
                <w:spacing w:val="4"/>
                <w:sz w:val="21"/>
                <w:szCs w:val="21"/>
                <w:highlight w:val="none"/>
                <w:lang w:eastAsia="zh-CN"/>
              </w:rPr>
              <w:t>分）：</w:t>
            </w:r>
            <w:r>
              <w:rPr>
                <w:rFonts w:hint="eastAsia" w:ascii="宋体" w:hAnsi="宋体" w:eastAsia="宋体" w:cs="宋体"/>
                <w:color w:val="auto"/>
                <w:spacing w:val="4"/>
                <w:sz w:val="21"/>
                <w:szCs w:val="21"/>
                <w:highlight w:val="none"/>
                <w:lang w:val="en-US" w:eastAsia="zh-CN"/>
              </w:rPr>
              <w:t>方案能提供基本的</w:t>
            </w:r>
            <w:r>
              <w:rPr>
                <w:rFonts w:hint="eastAsia" w:ascii="宋体" w:hAnsi="宋体" w:eastAsia="宋体" w:cs="宋体"/>
                <w:color w:val="auto"/>
                <w:spacing w:val="7"/>
                <w:sz w:val="21"/>
                <w:szCs w:val="21"/>
                <w:highlight w:val="none"/>
                <w:lang w:eastAsia="zh-CN"/>
              </w:rPr>
              <w:t>质量目标、</w:t>
            </w:r>
            <w:r>
              <w:rPr>
                <w:rFonts w:hint="eastAsia" w:ascii="宋体" w:hAnsi="宋体" w:eastAsia="宋体" w:cs="宋体"/>
                <w:color w:val="auto"/>
                <w:spacing w:val="10"/>
                <w:sz w:val="21"/>
                <w:szCs w:val="21"/>
                <w:highlight w:val="none"/>
                <w:lang w:eastAsia="zh-CN"/>
              </w:rPr>
              <w:t>质量管理制度、</w:t>
            </w:r>
            <w:r>
              <w:rPr>
                <w:rFonts w:hint="eastAsia" w:ascii="宋体" w:hAnsi="宋体" w:eastAsia="宋体" w:cs="宋体"/>
                <w:color w:val="auto"/>
                <w:spacing w:val="9"/>
                <w:sz w:val="21"/>
                <w:szCs w:val="21"/>
                <w:highlight w:val="none"/>
                <w:lang w:eastAsia="zh-CN"/>
              </w:rPr>
              <w:t>质量保</w:t>
            </w:r>
            <w:r>
              <w:rPr>
                <w:rFonts w:hint="eastAsia" w:ascii="宋体" w:hAnsi="宋体" w:eastAsia="宋体" w:cs="宋体"/>
                <w:color w:val="auto"/>
                <w:spacing w:val="7"/>
                <w:sz w:val="21"/>
                <w:szCs w:val="21"/>
                <w:highlight w:val="none"/>
                <w:lang w:eastAsia="zh-CN"/>
              </w:rPr>
              <w:t>证措施、技术保证措施</w:t>
            </w:r>
            <w:r>
              <w:rPr>
                <w:rFonts w:hint="eastAsia" w:ascii="宋体" w:hAnsi="宋体" w:eastAsia="宋体" w:cs="宋体"/>
                <w:color w:val="auto"/>
                <w:spacing w:val="7"/>
                <w:sz w:val="21"/>
                <w:szCs w:val="21"/>
                <w:highlight w:val="none"/>
                <w:lang w:val="en-US" w:eastAsia="zh-CN"/>
              </w:rPr>
              <w:t>等内容，可满足最低限度质量管理需求。</w:t>
            </w:r>
          </w:p>
          <w:p>
            <w:pPr>
              <w:pStyle w:val="8"/>
              <w:spacing w:line="360" w:lineRule="auto"/>
              <w:ind w:left="100" w:right="100" w:firstLine="436" w:firstLineChars="200"/>
              <w:rPr>
                <w:rFonts w:hint="eastAsia" w:ascii="宋体" w:hAnsi="宋体" w:eastAsia="宋体" w:cs="宋体"/>
                <w:color w:val="auto"/>
                <w:spacing w:val="4"/>
                <w:sz w:val="21"/>
                <w:szCs w:val="21"/>
                <w:highlight w:val="none"/>
                <w:lang w:val="en-US" w:eastAsia="zh-CN"/>
              </w:rPr>
            </w:pPr>
            <w:r>
              <w:rPr>
                <w:rFonts w:hint="eastAsia" w:ascii="宋体" w:hAnsi="宋体" w:eastAsia="宋体" w:cs="宋体"/>
                <w:color w:val="auto"/>
                <w:spacing w:val="4"/>
                <w:sz w:val="21"/>
                <w:szCs w:val="21"/>
                <w:highlight w:val="none"/>
                <w:lang w:eastAsia="zh-CN"/>
              </w:rPr>
              <w:t>二档（</w:t>
            </w:r>
            <w:r>
              <w:rPr>
                <w:rFonts w:hint="eastAsia" w:ascii="宋体" w:hAnsi="宋体" w:eastAsia="宋体" w:cs="宋体"/>
                <w:color w:val="auto"/>
                <w:spacing w:val="4"/>
                <w:sz w:val="21"/>
                <w:szCs w:val="21"/>
                <w:highlight w:val="none"/>
                <w:lang w:val="en-US" w:eastAsia="zh-CN"/>
              </w:rPr>
              <w:t>10</w:t>
            </w:r>
            <w:r>
              <w:rPr>
                <w:rFonts w:hint="eastAsia" w:ascii="宋体" w:hAnsi="宋体" w:eastAsia="宋体" w:cs="宋体"/>
                <w:color w:val="auto"/>
                <w:spacing w:val="4"/>
                <w:sz w:val="21"/>
                <w:szCs w:val="21"/>
                <w:highlight w:val="none"/>
                <w:lang w:eastAsia="zh-CN"/>
              </w:rPr>
              <w:t>分）：</w:t>
            </w:r>
            <w:r>
              <w:rPr>
                <w:rFonts w:hint="eastAsia" w:ascii="宋体" w:hAnsi="宋体" w:eastAsia="宋体" w:cs="宋体"/>
                <w:color w:val="auto"/>
                <w:spacing w:val="4"/>
                <w:sz w:val="21"/>
                <w:szCs w:val="21"/>
                <w:highlight w:val="none"/>
                <w:lang w:val="en-US" w:eastAsia="zh-CN"/>
              </w:rPr>
              <w:t>方案较为详细，质量目标明确，质量管理制度内容完整，质量保证措施形成闭环管理流程，技术保证措施配备基础管控手段，能覆盖项目主要核心质量风险点，整体可满足项目全流程质量管控需求。</w:t>
            </w:r>
          </w:p>
          <w:p>
            <w:pPr>
              <w:pStyle w:val="8"/>
              <w:spacing w:line="360" w:lineRule="auto"/>
              <w:ind w:left="100" w:leftChars="0" w:right="100" w:rightChars="0" w:firstLine="436" w:firstLineChars="200"/>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三</w:t>
            </w:r>
            <w:r>
              <w:rPr>
                <w:rFonts w:hint="eastAsia" w:ascii="宋体" w:hAnsi="宋体" w:eastAsia="宋体" w:cs="宋体"/>
                <w:color w:val="auto"/>
                <w:spacing w:val="4"/>
                <w:sz w:val="21"/>
                <w:szCs w:val="21"/>
                <w:highlight w:val="none"/>
                <w:shd w:val="clear" w:color="auto" w:fill="auto"/>
                <w:lang w:eastAsia="zh-CN"/>
              </w:rPr>
              <w:t>档（</w:t>
            </w:r>
            <w:r>
              <w:rPr>
                <w:rFonts w:hint="eastAsia" w:ascii="宋体" w:hAnsi="宋体" w:eastAsia="宋体" w:cs="宋体"/>
                <w:color w:val="auto"/>
                <w:spacing w:val="4"/>
                <w:sz w:val="21"/>
                <w:szCs w:val="21"/>
                <w:highlight w:val="none"/>
                <w:shd w:val="clear" w:color="auto" w:fill="auto"/>
                <w:lang w:val="en-US" w:eastAsia="zh-CN"/>
              </w:rPr>
              <w:t>15</w:t>
            </w:r>
            <w:r>
              <w:rPr>
                <w:rFonts w:hint="eastAsia" w:ascii="宋体" w:hAnsi="宋体" w:eastAsia="宋体" w:cs="宋体"/>
                <w:color w:val="auto"/>
                <w:spacing w:val="4"/>
                <w:sz w:val="21"/>
                <w:szCs w:val="21"/>
                <w:highlight w:val="none"/>
                <w:shd w:val="clear" w:color="auto" w:fill="auto"/>
                <w:lang w:eastAsia="zh-CN"/>
              </w:rPr>
              <w:t>分）：方案科学完善，全面优于二档水</w:t>
            </w:r>
            <w:r>
              <w:rPr>
                <w:rFonts w:hint="eastAsia" w:ascii="宋体" w:hAnsi="宋体" w:eastAsia="宋体" w:cs="宋体"/>
                <w:color w:val="auto"/>
                <w:spacing w:val="4"/>
                <w:sz w:val="21"/>
                <w:szCs w:val="21"/>
                <w:highlight w:val="none"/>
                <w:lang w:eastAsia="zh-CN"/>
              </w:rPr>
              <w:t>平，整体逻辑性与可行性强。质量目标定位精准，核心质量管控要点全面覆盖项目全生命周期，质量管理制度体系化构建，建立多层级质量优化机制，</w:t>
            </w:r>
            <w:r>
              <w:rPr>
                <w:rFonts w:hint="eastAsia" w:ascii="宋体" w:hAnsi="宋体" w:eastAsia="宋体" w:cs="宋体"/>
                <w:color w:val="auto"/>
                <w:spacing w:val="4"/>
                <w:sz w:val="21"/>
                <w:szCs w:val="21"/>
                <w:highlight w:val="none"/>
                <w:lang w:val="en-US" w:eastAsia="zh-CN"/>
              </w:rPr>
              <w:t>能</w:t>
            </w:r>
            <w:r>
              <w:rPr>
                <w:rFonts w:hint="eastAsia" w:ascii="宋体" w:hAnsi="宋体" w:eastAsia="宋体" w:cs="宋体"/>
                <w:color w:val="auto"/>
                <w:spacing w:val="4"/>
                <w:sz w:val="21"/>
                <w:szCs w:val="21"/>
                <w:highlight w:val="none"/>
                <w:lang w:eastAsia="zh-CN"/>
              </w:rPr>
              <w:t>结合同类项目先进经验提出多项针对性质量提升建议，可助力项目质量持续升级。</w:t>
            </w:r>
          </w:p>
          <w:p>
            <w:pPr>
              <w:pStyle w:val="8"/>
              <w:spacing w:line="360" w:lineRule="auto"/>
              <w:ind w:left="100" w:leftChars="0" w:right="100" w:rightChars="0" w:firstLine="436" w:firstLineChars="200"/>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val="en-US" w:eastAsia="zh-CN"/>
              </w:rPr>
              <w:t>注：未满足一档的得</w:t>
            </w:r>
            <w:r>
              <w:rPr>
                <w:rFonts w:hint="eastAsia" w:ascii="宋体" w:hAnsi="宋体" w:eastAsia="宋体" w:cs="宋体"/>
                <w:color w:val="auto"/>
                <w:spacing w:val="4"/>
                <w:sz w:val="21"/>
                <w:szCs w:val="21"/>
                <w:highlight w:val="none"/>
                <w:lang w:eastAsia="zh-CN"/>
              </w:rPr>
              <w:t>0分。</w:t>
            </w:r>
          </w:p>
        </w:tc>
        <w:tc>
          <w:tcPr>
            <w:tcW w:w="845" w:type="dxa"/>
            <w:noWrap w:val="0"/>
            <w:vAlign w:val="center"/>
          </w:tcPr>
          <w:p>
            <w:pPr>
              <w:pStyle w:val="8"/>
              <w:spacing w:line="360" w:lineRule="auto"/>
              <w:ind w:left="0" w:leftChars="0" w:right="100" w:rightChars="0"/>
              <w:jc w:val="both"/>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1</w:t>
            </w:r>
            <w:r>
              <w:rPr>
                <w:rFonts w:hint="eastAsia" w:ascii="宋体" w:hAnsi="宋体" w:eastAsia="宋体" w:cs="宋体"/>
                <w:color w:val="auto"/>
                <w:spacing w:val="-4"/>
                <w:sz w:val="21"/>
                <w:szCs w:val="21"/>
                <w:highlight w:val="none"/>
                <w:lang w:val="en-US" w:eastAsia="zh-CN"/>
              </w:rPr>
              <w:t>5</w:t>
            </w:r>
            <w:r>
              <w:rPr>
                <w:rFonts w:hint="eastAsia" w:ascii="宋体" w:hAnsi="宋体" w:eastAsia="宋体" w:cs="宋体"/>
                <w:color w:val="auto"/>
                <w:spacing w:val="-4"/>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5"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w:t>
            </w:r>
          </w:p>
        </w:tc>
        <w:tc>
          <w:tcPr>
            <w:tcW w:w="1945" w:type="dxa"/>
            <w:noWrap w:val="0"/>
            <w:vAlign w:val="center"/>
          </w:tcPr>
          <w:p>
            <w:pPr>
              <w:widowControl/>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商务分</w:t>
            </w:r>
          </w:p>
        </w:tc>
        <w:tc>
          <w:tcPr>
            <w:tcW w:w="5767"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845" w:type="dxa"/>
            <w:noWrap w:val="0"/>
            <w:vAlign w:val="center"/>
          </w:tcPr>
          <w:p>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5" w:type="dxa"/>
            <w:noWrap w:val="0"/>
            <w:vAlign w:val="center"/>
          </w:tcPr>
          <w:p>
            <w:pPr>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3.1</w:t>
            </w:r>
          </w:p>
        </w:tc>
        <w:tc>
          <w:tcPr>
            <w:tcW w:w="1945" w:type="dxa"/>
            <w:noWrap w:val="0"/>
            <w:vAlign w:val="center"/>
          </w:tcPr>
          <w:p>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售后服务方案</w:t>
            </w:r>
          </w:p>
        </w:tc>
        <w:tc>
          <w:tcPr>
            <w:tcW w:w="5767" w:type="dxa"/>
            <w:noWrap w:val="0"/>
            <w:vAlign w:val="center"/>
          </w:tcPr>
          <w:p>
            <w:pPr>
              <w:pStyle w:val="8"/>
              <w:spacing w:line="360" w:lineRule="auto"/>
              <w:ind w:left="100" w:right="100" w:firstLine="436" w:firstLineChars="200"/>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供应商针对本项目采购需求提供售后服务方案和承诺。</w:t>
            </w:r>
          </w:p>
          <w:p>
            <w:pPr>
              <w:pStyle w:val="8"/>
              <w:spacing w:line="360" w:lineRule="auto"/>
              <w:ind w:left="100" w:right="100" w:firstLine="436" w:firstLineChars="200"/>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一档（</w:t>
            </w:r>
            <w:r>
              <w:rPr>
                <w:rFonts w:hint="eastAsia" w:ascii="宋体" w:hAnsi="宋体" w:eastAsia="宋体" w:cs="宋体"/>
                <w:color w:val="auto"/>
                <w:spacing w:val="4"/>
                <w:sz w:val="21"/>
                <w:szCs w:val="21"/>
                <w:highlight w:val="none"/>
                <w:lang w:val="en-US" w:eastAsia="zh-CN"/>
              </w:rPr>
              <w:t>10</w:t>
            </w:r>
            <w:r>
              <w:rPr>
                <w:rFonts w:hint="eastAsia" w:ascii="宋体" w:hAnsi="宋体" w:eastAsia="宋体" w:cs="宋体"/>
                <w:color w:val="auto"/>
                <w:spacing w:val="4"/>
                <w:sz w:val="21"/>
                <w:szCs w:val="21"/>
                <w:highlight w:val="none"/>
                <w:lang w:eastAsia="zh-CN"/>
              </w:rPr>
              <w:t>分）：服务标准基本完整，有技术培训，IT 服务，系统故障有解决方案，有其它后续延伸服务；</w:t>
            </w:r>
          </w:p>
          <w:p>
            <w:pPr>
              <w:pStyle w:val="8"/>
              <w:spacing w:line="360" w:lineRule="auto"/>
              <w:ind w:left="100" w:right="100" w:firstLine="436" w:firstLineChars="200"/>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二档（</w:t>
            </w:r>
            <w:r>
              <w:rPr>
                <w:rFonts w:hint="eastAsia" w:ascii="宋体" w:hAnsi="宋体" w:eastAsia="宋体" w:cs="宋体"/>
                <w:color w:val="auto"/>
                <w:spacing w:val="4"/>
                <w:sz w:val="21"/>
                <w:szCs w:val="21"/>
                <w:highlight w:val="none"/>
                <w:lang w:val="en-US" w:eastAsia="zh-CN"/>
              </w:rPr>
              <w:t>15</w:t>
            </w:r>
            <w:r>
              <w:rPr>
                <w:rFonts w:hint="eastAsia" w:ascii="宋体" w:hAnsi="宋体" w:eastAsia="宋体" w:cs="宋体"/>
                <w:color w:val="auto"/>
                <w:spacing w:val="4"/>
                <w:sz w:val="21"/>
                <w:szCs w:val="21"/>
                <w:highlight w:val="none"/>
                <w:lang w:eastAsia="zh-CN"/>
              </w:rPr>
              <w:t>分）：服务标准完整科学可行，技术培训基本完整合理，系统故障有可行的解决方案，其它后续延伸服务基本贴合项目实际；</w:t>
            </w:r>
          </w:p>
          <w:p>
            <w:pPr>
              <w:pStyle w:val="8"/>
              <w:spacing w:line="360" w:lineRule="auto"/>
              <w:ind w:left="100" w:right="100" w:firstLine="456"/>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三档（</w:t>
            </w:r>
            <w:r>
              <w:rPr>
                <w:rFonts w:hint="eastAsia" w:ascii="宋体" w:hAnsi="宋体" w:eastAsia="宋体" w:cs="宋体"/>
                <w:color w:val="auto"/>
                <w:spacing w:val="4"/>
                <w:sz w:val="21"/>
                <w:szCs w:val="21"/>
                <w:highlight w:val="none"/>
                <w:lang w:val="en-US" w:eastAsia="zh-CN"/>
              </w:rPr>
              <w:t>20</w:t>
            </w:r>
            <w:r>
              <w:rPr>
                <w:rFonts w:hint="eastAsia" w:ascii="宋体" w:hAnsi="宋体" w:eastAsia="宋体" w:cs="宋体"/>
                <w:color w:val="auto"/>
                <w:spacing w:val="4"/>
                <w:sz w:val="21"/>
                <w:szCs w:val="21"/>
                <w:highlight w:val="none"/>
                <w:lang w:eastAsia="zh-CN"/>
              </w:rPr>
              <w:t>分）：</w:t>
            </w:r>
            <w:r>
              <w:rPr>
                <w:rFonts w:ascii="宋体" w:hAnsi="宋体" w:eastAsia="宋体" w:cs="宋体"/>
                <w:color w:val="auto"/>
                <w:sz w:val="21"/>
                <w:szCs w:val="21"/>
                <w:highlight w:val="none"/>
              </w:rPr>
              <w:t>服务标准详细可行，方案条理清晰、简洁明了、针对性强，配备</w:t>
            </w:r>
            <w:r>
              <w:rPr>
                <w:rFonts w:hint="eastAsia" w:ascii="宋体" w:hAnsi="宋体" w:eastAsia="宋体" w:cs="宋体"/>
                <w:color w:val="auto"/>
                <w:sz w:val="21"/>
                <w:szCs w:val="21"/>
                <w:highlight w:val="none"/>
                <w:lang w:val="en-US" w:eastAsia="zh-CN"/>
              </w:rPr>
              <w:t>不少于2人</w:t>
            </w:r>
            <w:r>
              <w:rPr>
                <w:rFonts w:ascii="宋体" w:hAnsi="宋体" w:eastAsia="宋体" w:cs="宋体"/>
                <w:color w:val="auto"/>
                <w:sz w:val="21"/>
                <w:szCs w:val="21"/>
                <w:highlight w:val="none"/>
              </w:rPr>
              <w:t>成熟完整的运维服务团队，团队成员具</w:t>
            </w:r>
            <w:r>
              <w:rPr>
                <w:rFonts w:hint="eastAsia" w:ascii="宋体" w:hAnsi="宋体" w:eastAsia="宋体" w:cs="宋体"/>
                <w:color w:val="auto"/>
                <w:sz w:val="21"/>
                <w:szCs w:val="21"/>
                <w:highlight w:val="none"/>
                <w:lang w:val="en-US" w:eastAsia="zh-CN"/>
              </w:rPr>
              <w:t>有HRP实施顾问资格证书</w:t>
            </w:r>
            <w:r>
              <w:rPr>
                <w:rFonts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软件工程中级工程师证书</w:t>
            </w:r>
            <w:r>
              <w:rPr>
                <w:rFonts w:ascii="宋体" w:hAnsi="宋体" w:eastAsia="宋体" w:cs="宋体"/>
                <w:color w:val="auto"/>
                <w:sz w:val="21"/>
                <w:szCs w:val="21"/>
                <w:highlight w:val="none"/>
              </w:rPr>
              <w:t>，承诺至少派 1 名技术人员驻场服务 1 年且仅服务于本招标项目，驻场技术人员所有费用由成交人承担；技术培训完整科学，系统故障响应及时且具备具体可行的解决方案，后续延伸服务贴合项目实际需求。</w:t>
            </w:r>
          </w:p>
          <w:p>
            <w:pPr>
              <w:pStyle w:val="8"/>
              <w:spacing w:line="360" w:lineRule="auto"/>
              <w:ind w:left="100" w:leftChars="0" w:right="100" w:rightChars="0" w:firstLine="436" w:firstLineChars="200"/>
              <w:rPr>
                <w:rFonts w:hint="eastAsia" w:ascii="宋体" w:hAnsi="宋体" w:eastAsia="宋体" w:cs="宋体"/>
                <w:b w:val="0"/>
                <w:bCs w:val="0"/>
                <w:color w:val="auto"/>
                <w:spacing w:val="4"/>
                <w:kern w:val="2"/>
                <w:sz w:val="21"/>
                <w:szCs w:val="21"/>
                <w:highlight w:val="none"/>
                <w:lang w:eastAsia="zh-CN"/>
              </w:rPr>
            </w:pPr>
            <w:r>
              <w:rPr>
                <w:rFonts w:hint="eastAsia" w:ascii="宋体" w:hAnsi="宋体" w:eastAsia="宋体" w:cs="宋体"/>
                <w:color w:val="auto"/>
                <w:spacing w:val="4"/>
                <w:sz w:val="21"/>
                <w:szCs w:val="21"/>
                <w:highlight w:val="none"/>
                <w:lang w:val="en-US" w:eastAsia="zh-CN"/>
              </w:rPr>
              <w:t>注：未满足一档的得</w:t>
            </w:r>
            <w:r>
              <w:rPr>
                <w:rFonts w:hint="eastAsia" w:ascii="宋体" w:hAnsi="宋体" w:eastAsia="宋体" w:cs="宋体"/>
                <w:color w:val="auto"/>
                <w:spacing w:val="4"/>
                <w:sz w:val="21"/>
                <w:szCs w:val="21"/>
                <w:highlight w:val="none"/>
                <w:lang w:eastAsia="zh-CN"/>
              </w:rPr>
              <w:t>0分。</w:t>
            </w:r>
          </w:p>
        </w:tc>
        <w:tc>
          <w:tcPr>
            <w:tcW w:w="845" w:type="dxa"/>
            <w:noWrap w:val="0"/>
            <w:vAlign w:val="center"/>
          </w:tcPr>
          <w:p>
            <w:pPr>
              <w:pStyle w:val="8"/>
              <w:spacing w:line="360" w:lineRule="auto"/>
              <w:ind w:left="0" w:leftChars="0" w:right="-211" w:rightChars="0" w:firstLine="0" w:firstLineChars="0"/>
              <w:jc w:val="left"/>
              <w:rPr>
                <w:rFonts w:hint="eastAsia" w:ascii="宋体" w:hAnsi="宋体" w:eastAsia="宋体" w:cs="宋体"/>
                <w:b w:val="0"/>
                <w:bCs w:val="0"/>
                <w:color w:val="auto"/>
                <w:spacing w:val="4"/>
                <w:kern w:val="2"/>
                <w:sz w:val="21"/>
                <w:szCs w:val="21"/>
                <w:highlight w:val="none"/>
                <w:lang w:eastAsia="zh-CN"/>
              </w:rPr>
            </w:pPr>
            <w:r>
              <w:rPr>
                <w:rFonts w:hint="eastAsia" w:ascii="宋体" w:hAnsi="宋体" w:eastAsia="宋体" w:cs="宋体"/>
                <w:color w:val="auto"/>
                <w:spacing w:val="4"/>
                <w:sz w:val="21"/>
                <w:szCs w:val="21"/>
                <w:highlight w:val="none"/>
                <w:lang w:val="en-US" w:eastAsia="zh-CN"/>
              </w:rPr>
              <w:t>20</w:t>
            </w:r>
            <w:r>
              <w:rPr>
                <w:rFonts w:hint="eastAsia" w:ascii="宋体" w:hAnsi="宋体" w:eastAsia="宋体" w:cs="宋体"/>
                <w:color w:val="auto"/>
                <w:spacing w:val="4"/>
                <w:sz w:val="21"/>
                <w:szCs w:val="21"/>
                <w:highlight w:val="none"/>
                <w:lang w:eastAsia="zh-CN"/>
              </w:rPr>
              <w:t xml:space="preserve">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5" w:type="dxa"/>
            <w:noWrap w:val="0"/>
            <w:vAlign w:val="center"/>
          </w:tcPr>
          <w:p>
            <w:pPr>
              <w:spacing w:line="360" w:lineRule="auto"/>
              <w:jc w:val="center"/>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3.2</w:t>
            </w:r>
          </w:p>
        </w:tc>
        <w:tc>
          <w:tcPr>
            <w:tcW w:w="1945" w:type="dxa"/>
            <w:noWrap w:val="0"/>
            <w:vAlign w:val="center"/>
          </w:tcPr>
          <w:p>
            <w:pPr>
              <w:pStyle w:val="8"/>
              <w:spacing w:line="360" w:lineRule="auto"/>
              <w:ind w:left="0" w:leftChars="0" w:right="100" w:rightChars="0" w:firstLine="0"/>
              <w:jc w:val="left"/>
              <w:rPr>
                <w:rFonts w:hint="eastAsia" w:ascii="宋体" w:hAnsi="宋体" w:eastAsia="宋体" w:cs="宋体"/>
                <w:b w:val="0"/>
                <w:color w:val="auto"/>
                <w:spacing w:val="4"/>
                <w:sz w:val="21"/>
                <w:szCs w:val="21"/>
                <w:highlight w:val="none"/>
                <w:lang w:eastAsia="zh-CN"/>
              </w:rPr>
            </w:pPr>
            <w:r>
              <w:rPr>
                <w:rFonts w:hint="eastAsia" w:ascii="宋体" w:hAnsi="宋体" w:eastAsia="宋体" w:cs="宋体"/>
                <w:b/>
                <w:color w:val="auto"/>
                <w:spacing w:val="0"/>
                <w:sz w:val="20"/>
                <w:szCs w:val="21"/>
                <w:highlight w:val="none"/>
                <w:lang w:eastAsia="zh-CN"/>
              </w:rPr>
              <w:t>综合技术服务能力</w:t>
            </w:r>
          </w:p>
        </w:tc>
        <w:tc>
          <w:tcPr>
            <w:tcW w:w="5767" w:type="dxa"/>
            <w:noWrap w:val="0"/>
            <w:vAlign w:val="center"/>
          </w:tcPr>
          <w:p>
            <w:pPr>
              <w:pStyle w:val="8"/>
              <w:numPr>
                <w:ilvl w:val="0"/>
                <w:numId w:val="0"/>
              </w:numPr>
              <w:spacing w:line="360" w:lineRule="auto"/>
              <w:ind w:left="100" w:right="100" w:firstLine="456"/>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val="en-US" w:eastAsia="zh-CN"/>
              </w:rPr>
              <w:t>1.</w:t>
            </w:r>
            <w:r>
              <w:rPr>
                <w:rStyle w:val="9"/>
                <w:lang w:val="en-US" w:eastAsia="zh-CN" w:bidi="ar"/>
              </w:rPr>
              <w:t>投标人或所投产品制造商具有本项目建设</w:t>
            </w:r>
            <w:r>
              <w:rPr>
                <w:rFonts w:hint="eastAsia" w:ascii="宋体" w:hAnsi="宋体" w:eastAsia="宋体" w:cs="宋体"/>
                <w:color w:val="auto"/>
                <w:spacing w:val="4"/>
                <w:sz w:val="21"/>
                <w:szCs w:val="21"/>
                <w:highlight w:val="none"/>
                <w:lang w:val="en-US" w:eastAsia="zh-CN"/>
              </w:rPr>
              <w:t>新增物资管理系统</w:t>
            </w:r>
            <w:r>
              <w:rPr>
                <w:rStyle w:val="9"/>
                <w:lang w:val="en-US" w:eastAsia="zh-CN" w:bidi="ar"/>
              </w:rPr>
              <w:t>的计算机软件著作权登记证书</w:t>
            </w:r>
            <w:r>
              <w:rPr>
                <w:rStyle w:val="9"/>
                <w:rFonts w:hint="eastAsia"/>
                <w:lang w:val="en-US" w:eastAsia="zh-CN" w:bidi="ar"/>
              </w:rPr>
              <w:t>得3分</w:t>
            </w:r>
            <w:r>
              <w:rPr>
                <w:rFonts w:hint="eastAsia" w:ascii="宋体" w:hAnsi="宋体" w:eastAsia="宋体" w:cs="宋体"/>
                <w:color w:val="auto"/>
                <w:spacing w:val="4"/>
                <w:sz w:val="21"/>
                <w:szCs w:val="21"/>
                <w:highlight w:val="none"/>
                <w:lang w:eastAsia="zh-CN"/>
              </w:rPr>
              <w:t>。</w:t>
            </w:r>
            <w:r>
              <w:rPr>
                <w:rStyle w:val="10"/>
                <w:lang w:val="en-US" w:eastAsia="zh-CN" w:bidi="ar"/>
              </w:rPr>
              <w:t>以上著作权证书必须提供资质证书复印件并加盖制造厂商公章附于投标文件中</w:t>
            </w:r>
            <w:r>
              <w:rPr>
                <w:rFonts w:hint="eastAsia" w:ascii="宋体" w:hAnsi="宋体" w:eastAsia="宋体" w:cs="宋体"/>
                <w:color w:val="auto"/>
                <w:spacing w:val="4"/>
                <w:sz w:val="21"/>
                <w:szCs w:val="21"/>
                <w:highlight w:val="none"/>
                <w:lang w:eastAsia="zh-CN"/>
              </w:rPr>
              <w:t>。</w:t>
            </w:r>
          </w:p>
          <w:p>
            <w:pPr>
              <w:pStyle w:val="8"/>
              <w:spacing w:line="360" w:lineRule="auto"/>
              <w:ind w:left="100" w:right="100" w:rightChars="0" w:firstLine="456"/>
              <w:rPr>
                <w:rFonts w:hint="default" w:ascii="宋体" w:hAnsi="宋体" w:eastAsia="宋体" w:cs="宋体"/>
                <w:color w:val="auto"/>
                <w:spacing w:val="4"/>
                <w:sz w:val="21"/>
                <w:szCs w:val="21"/>
                <w:highlight w:val="none"/>
                <w:lang w:val="en-US" w:eastAsia="zh-CN"/>
              </w:rPr>
            </w:pPr>
            <w:r>
              <w:rPr>
                <w:rFonts w:hint="eastAsia" w:ascii="宋体" w:hAnsi="宋体" w:eastAsia="宋体" w:cs="宋体"/>
                <w:color w:val="auto"/>
                <w:spacing w:val="4"/>
                <w:sz w:val="21"/>
                <w:szCs w:val="21"/>
                <w:highlight w:val="none"/>
                <w:lang w:val="en-US" w:eastAsia="zh-CN"/>
              </w:rPr>
              <w:t>2.</w:t>
            </w:r>
            <w:r>
              <w:rPr>
                <w:rStyle w:val="9"/>
                <w:lang w:val="en-US" w:eastAsia="zh-CN" w:bidi="ar"/>
              </w:rPr>
              <w:t>投标人或所投产品制造厂商具有本项目建设</w:t>
            </w:r>
            <w:r>
              <w:rPr>
                <w:rFonts w:hint="eastAsia" w:ascii="宋体" w:hAnsi="宋体" w:eastAsia="宋体" w:cs="宋体"/>
                <w:color w:val="auto"/>
                <w:spacing w:val="4"/>
                <w:sz w:val="21"/>
                <w:szCs w:val="21"/>
                <w:highlight w:val="none"/>
                <w:lang w:val="en-US" w:eastAsia="zh-CN"/>
              </w:rPr>
              <w:t>新增物资管理系统</w:t>
            </w:r>
            <w:r>
              <w:rPr>
                <w:rStyle w:val="9"/>
                <w:lang w:val="en-US" w:eastAsia="zh-CN" w:bidi="ar"/>
              </w:rPr>
              <w:t>通过ISO20000信息技术服务管理体系认证，且认证范围包含有“医疗行业应用软件开发及服务”得</w:t>
            </w:r>
            <w:r>
              <w:rPr>
                <w:rStyle w:val="9"/>
                <w:rFonts w:hint="eastAsia"/>
                <w:lang w:val="en-US" w:eastAsia="zh-CN" w:bidi="ar"/>
              </w:rPr>
              <w:t>2</w:t>
            </w:r>
            <w:r>
              <w:rPr>
                <w:rStyle w:val="9"/>
                <w:lang w:val="en-US" w:eastAsia="zh-CN" w:bidi="ar"/>
              </w:rPr>
              <w:t>分</w:t>
            </w:r>
          </w:p>
        </w:tc>
        <w:tc>
          <w:tcPr>
            <w:tcW w:w="845" w:type="dxa"/>
            <w:noWrap w:val="0"/>
            <w:vAlign w:val="center"/>
          </w:tcPr>
          <w:p>
            <w:pPr>
              <w:pStyle w:val="8"/>
              <w:spacing w:line="360" w:lineRule="auto"/>
              <w:ind w:left="0" w:leftChars="0" w:right="100" w:rightChars="0" w:firstLine="0"/>
              <w:jc w:val="left"/>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val="en-US" w:eastAsia="zh-CN"/>
              </w:rPr>
              <w:t>5</w:t>
            </w:r>
            <w:r>
              <w:rPr>
                <w:rFonts w:hint="eastAsia" w:ascii="宋体" w:hAnsi="宋体" w:eastAsia="宋体" w:cs="宋体"/>
                <w:color w:val="auto"/>
                <w:spacing w:val="4"/>
                <w:sz w:val="21"/>
                <w:szCs w:val="21"/>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jc w:val="center"/>
        </w:trPr>
        <w:tc>
          <w:tcPr>
            <w:tcW w:w="805" w:type="dxa"/>
            <w:noWrap w:val="0"/>
            <w:vAlign w:val="center"/>
          </w:tcPr>
          <w:p>
            <w:pPr>
              <w:widowControl/>
              <w:spacing w:line="360" w:lineRule="auto"/>
              <w:jc w:val="center"/>
              <w:rPr>
                <w:rFonts w:hint="default"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3.3</w:t>
            </w:r>
          </w:p>
        </w:tc>
        <w:tc>
          <w:tcPr>
            <w:tcW w:w="1945" w:type="dxa"/>
            <w:noWrap w:val="0"/>
            <w:vAlign w:val="center"/>
          </w:tcPr>
          <w:p>
            <w:pPr>
              <w:widowControl/>
              <w:spacing w:line="360" w:lineRule="auto"/>
              <w:jc w:val="center"/>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运维能力分</w:t>
            </w:r>
          </w:p>
        </w:tc>
        <w:tc>
          <w:tcPr>
            <w:tcW w:w="5767" w:type="dxa"/>
            <w:noWrap w:val="0"/>
            <w:vAlign w:val="center"/>
          </w:tcPr>
          <w:p>
            <w:pPr>
              <w:spacing w:line="360" w:lineRule="auto"/>
              <w:ind w:left="0" w:leftChars="0" w:firstLine="0" w:firstLineChars="0"/>
              <w:rPr>
                <w:rFonts w:hint="eastAsia" w:ascii="宋体" w:hAnsi="宋体" w:eastAsia="宋体" w:cs="宋体"/>
                <w:color w:val="auto"/>
                <w:spacing w:val="4"/>
                <w:sz w:val="21"/>
                <w:szCs w:val="21"/>
                <w:highlight w:val="none"/>
                <w:lang w:eastAsia="zh-CN"/>
              </w:rPr>
            </w:pPr>
            <w:r>
              <w:rPr>
                <w:rFonts w:hint="eastAsia" w:ascii="宋体" w:hAnsi="宋体" w:eastAsia="宋体" w:cs="宋体"/>
                <w:sz w:val="21"/>
                <w:szCs w:val="21"/>
                <w:vertAlign w:val="baseline"/>
                <w:lang w:val="en-US" w:eastAsia="zh-CN"/>
              </w:rPr>
              <w:t>投标人具有重合同守信用企业证书3A级得3分，投标人具有质量、服务诚信单位证书3A级得2分。</w:t>
            </w:r>
            <w:r>
              <w:rPr>
                <w:rFonts w:hint="eastAsia" w:ascii="宋体" w:hAnsi="宋体" w:cs="宋体"/>
                <w:color w:val="auto"/>
                <w:spacing w:val="4"/>
                <w:sz w:val="21"/>
                <w:szCs w:val="21"/>
                <w:highlight w:val="none"/>
                <w:lang w:val="en-US" w:eastAsia="zh-CN"/>
              </w:rPr>
              <w:t>不提供不得分，最高得5分。</w:t>
            </w:r>
          </w:p>
        </w:tc>
        <w:tc>
          <w:tcPr>
            <w:tcW w:w="845" w:type="dxa"/>
            <w:noWrap w:val="0"/>
            <w:vAlign w:val="center"/>
          </w:tcPr>
          <w:p>
            <w:pPr>
              <w:pStyle w:val="8"/>
              <w:spacing w:line="360" w:lineRule="auto"/>
              <w:ind w:left="0" w:leftChars="0" w:right="100" w:rightChars="0" w:firstLine="0"/>
              <w:jc w:val="left"/>
              <w:rPr>
                <w:rFonts w:hint="default" w:ascii="宋体" w:hAnsi="宋体" w:eastAsia="宋体" w:cs="宋体"/>
                <w:color w:val="auto"/>
                <w:spacing w:val="4"/>
                <w:sz w:val="21"/>
                <w:szCs w:val="21"/>
                <w:highlight w:val="none"/>
                <w:lang w:val="en-US" w:eastAsia="zh-CN"/>
              </w:rPr>
            </w:pPr>
            <w:r>
              <w:rPr>
                <w:rFonts w:hint="eastAsia" w:ascii="宋体" w:hAnsi="宋体" w:eastAsia="宋体" w:cs="宋体"/>
                <w:color w:val="auto"/>
                <w:spacing w:val="4"/>
                <w:sz w:val="21"/>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362" w:type="dxa"/>
            <w:gridSpan w:val="4"/>
            <w:noWrap w:val="0"/>
            <w:vAlign w:val="top"/>
          </w:tcPr>
          <w:p>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b/>
                <w:color w:val="auto"/>
                <w:sz w:val="24"/>
                <w:szCs w:val="24"/>
                <w:highlight w:val="none"/>
              </w:rPr>
              <w:t>总得分＝1＋2＋3</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A553D"/>
    <w:rsid w:val="05732774"/>
    <w:rsid w:val="076D5A73"/>
    <w:rsid w:val="08122176"/>
    <w:rsid w:val="0E63372C"/>
    <w:rsid w:val="0E7C2313"/>
    <w:rsid w:val="11707884"/>
    <w:rsid w:val="15763D45"/>
    <w:rsid w:val="1A9133CF"/>
    <w:rsid w:val="1D3D1908"/>
    <w:rsid w:val="1FFA1CE7"/>
    <w:rsid w:val="23C40371"/>
    <w:rsid w:val="285D2B42"/>
    <w:rsid w:val="2FCD67FF"/>
    <w:rsid w:val="2FDF54BD"/>
    <w:rsid w:val="310A553D"/>
    <w:rsid w:val="31701B38"/>
    <w:rsid w:val="324863EA"/>
    <w:rsid w:val="38F46CF2"/>
    <w:rsid w:val="41A43864"/>
    <w:rsid w:val="440A08B0"/>
    <w:rsid w:val="4C665605"/>
    <w:rsid w:val="4C8C73CE"/>
    <w:rsid w:val="4F2E6E63"/>
    <w:rsid w:val="51D07D5D"/>
    <w:rsid w:val="52A35472"/>
    <w:rsid w:val="52B256B5"/>
    <w:rsid w:val="56EF6ED8"/>
    <w:rsid w:val="5742275E"/>
    <w:rsid w:val="587D2EA1"/>
    <w:rsid w:val="641A755E"/>
    <w:rsid w:val="6B174383"/>
    <w:rsid w:val="6B427475"/>
    <w:rsid w:val="6E105C5A"/>
    <w:rsid w:val="6FF60E7F"/>
    <w:rsid w:val="71845440"/>
    <w:rsid w:val="71995F66"/>
    <w:rsid w:val="71E73175"/>
    <w:rsid w:val="74FD1D13"/>
    <w:rsid w:val="7533222E"/>
    <w:rsid w:val="75DE7C70"/>
    <w:rsid w:val="76B45DCD"/>
    <w:rsid w:val="7864511A"/>
    <w:rsid w:val="79BC0A44"/>
    <w:rsid w:val="79DD09BA"/>
    <w:rsid w:val="7EE051D4"/>
    <w:rsid w:val="7F820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iPriority w:val="0"/>
    <w:pPr>
      <w:keepNext/>
      <w:keepLines/>
      <w:spacing w:before="260" w:beforeLines="0" w:beforeAutospacing="0" w:after="260" w:afterLines="0" w:afterAutospacing="0" w:line="240" w:lineRule="auto"/>
      <w:outlineLvl w:val="2"/>
    </w:pPr>
    <w:rPr>
      <w:rFonts w:ascii="Calibri" w:hAnsi="Calibri" w:eastAsia="宋体" w:cs="Times New Roman"/>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firstLine="830" w:firstLineChars="352"/>
    </w:pPr>
    <w:rPr>
      <w:rFonts w:ascii="仿宋_GB2312" w:hAnsi="Times New Roman" w:eastAsia="仿宋_GB2312" w:cs="Times New Roman"/>
      <w:kern w:val="0"/>
      <w:sz w:val="32"/>
      <w:szCs w:val="20"/>
    </w:rPr>
  </w:style>
  <w:style w:type="paragraph" w:styleId="4">
    <w:name w:val="Plain Text"/>
    <w:basedOn w:val="1"/>
    <w:next w:val="1"/>
    <w:qFormat/>
    <w:uiPriority w:val="0"/>
    <w:rPr>
      <w:rFonts w:ascii="宋体" w:hAnsi="Courier New" w:eastAsia="宋体" w:cs="Times New Roman"/>
      <w:kern w:val="0"/>
      <w:sz w:val="20"/>
      <w:szCs w:val="21"/>
    </w:rPr>
  </w:style>
  <w:style w:type="paragraph" w:styleId="5">
    <w:name w:val="Body Text First Indent 2"/>
    <w:basedOn w:val="3"/>
    <w:qFormat/>
    <w:uiPriority w:val="0"/>
    <w:pPr>
      <w:ind w:leftChars="0" w:firstLine="210"/>
    </w:pPr>
    <w:rPr>
      <w:rFonts w:ascii="Times New Roman" w:hAnsi="Times New Roman" w:eastAsia="宋体" w:cs="Times New Roman"/>
      <w:szCs w:val="20"/>
    </w:rPr>
  </w:style>
  <w:style w:type="paragraph" w:customStyle="1" w:styleId="8">
    <w:name w:val="Table Text"/>
    <w:basedOn w:val="1"/>
    <w:qFormat/>
    <w:uiPriority w:val="0"/>
    <w:rPr>
      <w:rFonts w:ascii="仿宋" w:hAnsi="仿宋" w:eastAsia="仿宋" w:cs="仿宋"/>
      <w:sz w:val="20"/>
      <w:szCs w:val="20"/>
      <w:lang w:val="en-US" w:eastAsia="en-US" w:bidi="ar-SA"/>
    </w:rPr>
  </w:style>
  <w:style w:type="character" w:customStyle="1" w:styleId="9">
    <w:name w:val="font11"/>
    <w:basedOn w:val="7"/>
    <w:qFormat/>
    <w:uiPriority w:val="0"/>
    <w:rPr>
      <w:rFonts w:hint="eastAsia" w:ascii="宋体" w:hAnsi="宋体" w:eastAsia="宋体" w:cs="宋体"/>
      <w:color w:val="000000"/>
      <w:sz w:val="21"/>
      <w:szCs w:val="21"/>
      <w:u w:val="none"/>
    </w:rPr>
  </w:style>
  <w:style w:type="character" w:customStyle="1" w:styleId="10">
    <w:name w:val="font21"/>
    <w:basedOn w:val="7"/>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4088</Words>
  <Characters>4208</Characters>
  <Lines>0</Lines>
  <Paragraphs>0</Paragraphs>
  <TotalTime>92</TotalTime>
  <ScaleCrop>false</ScaleCrop>
  <LinksUpToDate>false</LinksUpToDate>
  <CharactersWithSpaces>4234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2026-06-30T03:15:00Z</dcterms:created>
  <dc:creator>邓春发</dc:creator>
  <cp:lastModifiedBy>L</cp:lastModifiedBy>
  <cp:lastPrinted>2026-07-01T01:33:00Z</cp:lastPrinted>
  <dcterms:modified xsi:type="dcterms:W3CDTF">2026-07-28T03:53:13Z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1EB24A1AE75044D7AE7CF056A3168652_11</vt:lpwstr>
  </property>
  <property fmtid="{D5CDD505-2E9C-101B-9397-08002B2CF9AE}" pid="4" name="KSOTemplateDocerSaveRecord">
    <vt:lpwstr>eyJoZGlkIjoiOGNhZmI0YzhjYmRjNTJkODIyYjFhYmRlZDRmYzI1ZWIiLCJ1c2VySWQiOiIyNzcxODgyODgifQ==</vt:lpwstr>
  </property>
</Properties>
</file>