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0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7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9040" w:type="dxa"/>
            <w:gridSpan w:val="2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32"/>
                <w:szCs w:val="32"/>
                <w:highlight w:val="none"/>
              </w:rPr>
              <w:t>▲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32"/>
                <w:szCs w:val="32"/>
                <w:highlight w:val="none"/>
              </w:rPr>
              <w:t>、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需求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32"/>
                <w:szCs w:val="32"/>
                <w:highlight w:val="none"/>
              </w:rPr>
              <w:t>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1" w:hRule="atLeast"/>
        </w:trPr>
        <w:tc>
          <w:tcPr>
            <w:tcW w:w="179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售后及技术服务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要求</w:t>
            </w:r>
          </w:p>
        </w:tc>
        <w:tc>
          <w:tcPr>
            <w:tcW w:w="7244" w:type="dxa"/>
            <w:noWrap w:val="0"/>
            <w:vAlign w:val="center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服务响应要求：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（1）项目实施后，项目团队须提供 7×24 小时技术支持服务，系统出现一般故障时，在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 xml:space="preserve">小时内响应并提出解决方案，8小时之内解决故障；重大故障需安排技术人员到现场提供技术服务，以保证系统的正常使用。 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 xml:space="preserve">（2）服务期间，如出现复杂问题通过远程无法处理，供应商须派遣技术人员上门提供现场服务。 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（3）对于发现的软件自身功能问题，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供应商须免费提供技术支持、及时给予圆满解决。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成交人应当维护采购人在服务系统的网络信息安全。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主动巡检服务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成交人将定期对进行运行检测（一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个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季度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不少于两次），检测服务包括但不限于：诊断备份系统性能，发现并处理潜在的问题，减少故障发生几率。并为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采购人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建立完整客户档案、维护纪录、现场工作日志，对有可能出现的隐患问题，及时向采购人提供专业性建议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并协助解决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成交人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需承诺至少派1名技术人员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年且只服务于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此次招标项目，驻场技术人员所有费用由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成交人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承担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服务持续升级要求：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（1）服务期间，供应商须提供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软件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平台的免费升级服务，服务期内提供平台免费更新升级，bug免费修复。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.培训服务：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（1）使用培训周期：提供不少于十次现场培训，每次不少于2小时。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 xml:space="preserve">（2）提供远程技术服务以电话、QQ、Email 等方式提供7*8小时响应。   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成交人必须按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医院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要求制订培训方案并做出相应承诺。进行系统的技术管理培训、使用培训，使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医院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相关人员掌握日常使用、维护和管理方法，以保证项目能够正常、安全、平稳地运行和扩展。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.其它：采购人未提供需求而成交人认为需说明及补充的内容在此填列。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79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服务期限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地点</w:t>
            </w:r>
          </w:p>
        </w:tc>
        <w:tc>
          <w:tcPr>
            <w:tcW w:w="7244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时间：合同签订后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3年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ab/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2.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地点：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桂平市中医医院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79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验收标准</w:t>
            </w:r>
          </w:p>
        </w:tc>
        <w:tc>
          <w:tcPr>
            <w:tcW w:w="7244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.验收标准：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1.1 验收依据：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（1）合同、竞争性磋商文件、响应文件。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（2）成交人提供的技术规格、经采购人认可的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系统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平台的有效检验文件。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（3）成交人响应文件中提供的经采购人认可的合同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系统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平台的验收标准（符合中国有关的国家、地方、行业标准）和检测办法及相应检测手段。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.验收合格的条件：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（1）所供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系统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平台安装部署完成，系统运行稳定可靠。系统性能指标及功能指标满足合同、</w:t>
            </w:r>
            <w:bookmarkStart w:id="7" w:name="_GoBack"/>
            <w:bookmarkEnd w:id="7"/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响应文件的要求。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（2）在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过程中发现的问题已被解决并得到采购人的认可。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（3）合同中规定的所有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系统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平台和材料均已交付。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（4）所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服务系统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平台已通过使用单位组织的验收。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所有相关的技术文件及资料均已提交并得到接受。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验收标准：依照采购人采购验收标准履行验收，根据国家、行业相关技术标准及双方协商方式与标准进行验收。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验收程序：依照采购人采购验收标准履行验收。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验收报告：依照采购人采购验收标准履行验收。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组织验收主体：本项目的履约验收工作由采购人依法组织实施。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4" w:hRule="atLeast"/>
        </w:trPr>
        <w:tc>
          <w:tcPr>
            <w:tcW w:w="1796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其他要求</w:t>
            </w:r>
          </w:p>
        </w:tc>
        <w:tc>
          <w:tcPr>
            <w:tcW w:w="7244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报价包含完成本项目采购需求中所列所有服务内容产生的劳务费、技术服务费、交通、通讯、保险、税费、利润等一切费用。对于本文件中未列明，而供应商认为必须的费用也需列入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报价，在合同实施时，采购人将不予支付供应商没有列入的项目费用，并认为此项目的费用已包括在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报价中。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.供应商报价已充分考虑市场变化因素，合同有效期内双方不再对合同价格做任何调整。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.供应商在服务人员组成结构等方面应能满足本项目服务的要求。</w:t>
            </w:r>
          </w:p>
        </w:tc>
      </w:tr>
    </w:tbl>
    <w:p>
      <w:pPr>
        <w:pStyle w:val="3"/>
        <w:jc w:val="both"/>
        <w:rPr>
          <w:rFonts w:hint="eastAsia" w:ascii="宋体" w:hAnsi="宋体"/>
          <w:b w:val="0"/>
          <w:color w:val="auto"/>
          <w:sz w:val="32"/>
          <w:szCs w:val="32"/>
          <w:highlight w:val="none"/>
        </w:rPr>
      </w:pPr>
    </w:p>
    <w:p>
      <w:pPr>
        <w:rPr>
          <w:rFonts w:hint="eastAsia" w:ascii="宋体" w:hAnsi="宋体"/>
          <w:b w:val="0"/>
          <w:color w:val="auto"/>
          <w:sz w:val="32"/>
          <w:szCs w:val="32"/>
          <w:highlight w:val="none"/>
        </w:rPr>
      </w:pPr>
    </w:p>
    <w:tbl>
      <w:tblPr>
        <w:tblStyle w:val="7"/>
        <w:tblW w:w="8277" w:type="dxa"/>
        <w:tblInd w:w="274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47"/>
        <w:gridCol w:w="1404"/>
        <w:gridCol w:w="4962"/>
        <w:gridCol w:w="76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</w:trPr>
        <w:tc>
          <w:tcPr>
            <w:tcW w:w="8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二、服务内容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20"/>
              </w:rPr>
              <w:t>金算盘医院管理系统（</w:t>
            </w:r>
            <w:r>
              <w:rPr>
                <w:rFonts w:ascii="Calibri" w:hAnsi="Calibri" w:eastAsia="Calibri" w:cs="Calibri"/>
                <w:sz w:val="20"/>
              </w:rPr>
              <w:t>HRP</w:t>
            </w:r>
            <w:r>
              <w:rPr>
                <w:rFonts w:ascii="宋体" w:hAnsi="宋体" w:eastAsia="宋体" w:cs="宋体"/>
                <w:sz w:val="20"/>
              </w:rPr>
              <w:t>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成本管理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科室成本管理：科室成本核算、科室成本分析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财务管理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sz w:val="20"/>
              </w:rPr>
              <w:t>总分类账、应收</w:t>
            </w:r>
            <w:r>
              <w:rPr>
                <w:rFonts w:ascii="Calibri" w:hAnsi="Calibri" w:eastAsia="Calibri" w:cs="Calibri"/>
                <w:sz w:val="20"/>
              </w:rPr>
              <w:t>/</w:t>
            </w:r>
            <w:r>
              <w:rPr>
                <w:rFonts w:ascii="宋体" w:hAnsi="宋体" w:eastAsia="宋体" w:cs="宋体"/>
                <w:sz w:val="20"/>
              </w:rPr>
              <w:t>应付管理、现金银行、现金流量、项目管理、备查簿管理、财务报表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物资管理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  <w:sz w:val="20"/>
              </w:rPr>
            </w:pPr>
            <w:r>
              <w:rPr>
                <w:rFonts w:ascii="宋体" w:hAnsi="宋体" w:eastAsia="宋体" w:cs="宋体"/>
                <w:sz w:val="20"/>
              </w:rPr>
              <w:t>物资采购管理：采购计划、采购管理、资质管理；</w:t>
            </w:r>
          </w:p>
          <w:p>
            <w:pPr>
              <w:jc w:val="left"/>
              <w:rPr>
                <w:rFonts w:ascii="Calibri" w:hAnsi="Calibri" w:eastAsia="Calibri" w:cs="Calibri"/>
                <w:sz w:val="20"/>
              </w:rPr>
            </w:pPr>
            <w:r>
              <w:rPr>
                <w:rFonts w:ascii="宋体" w:hAnsi="宋体" w:eastAsia="宋体" w:cs="宋体"/>
                <w:sz w:val="20"/>
              </w:rPr>
              <w:t>物资库存管理：库存管理、存货核算；</w:t>
            </w:r>
          </w:p>
          <w:p>
            <w:pPr>
              <w:jc w:val="left"/>
              <w:rPr>
                <w:rFonts w:ascii="Calibri" w:hAnsi="Calibri" w:eastAsia="Calibri" w:cs="Calibri"/>
                <w:sz w:val="20"/>
              </w:rPr>
            </w:pPr>
            <w:r>
              <w:rPr>
                <w:rFonts w:ascii="宋体" w:hAnsi="宋体" w:eastAsia="宋体" w:cs="宋体"/>
                <w:sz w:val="20"/>
              </w:rPr>
              <w:t>物资深度应用：二级库管理、高值耗材</w:t>
            </w:r>
            <w:r>
              <w:rPr>
                <w:rFonts w:ascii="Calibri" w:hAnsi="Calibri" w:eastAsia="Calibri" w:cs="Calibri"/>
                <w:sz w:val="20"/>
              </w:rPr>
              <w:t>VMI</w:t>
            </w:r>
            <w:r>
              <w:rPr>
                <w:rFonts w:ascii="宋体" w:hAnsi="宋体" w:eastAsia="宋体" w:cs="宋体"/>
                <w:sz w:val="20"/>
              </w:rPr>
              <w:t>管理；</w:t>
            </w:r>
          </w:p>
          <w:p>
            <w:pPr>
              <w:jc w:val="left"/>
            </w:pPr>
            <w:r>
              <w:rPr>
                <w:rFonts w:ascii="宋体" w:hAnsi="宋体" w:eastAsia="宋体" w:cs="宋体"/>
                <w:sz w:val="20"/>
              </w:rPr>
              <w:t>物资自助平台：请购自助平台、领用自助平台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资产管理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固定资产管理、资产条码管理、资产自助平台、低值易耗品管理、无形资产管理、待摊费用管理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绩效管理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工资管理、工资报表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经营分析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科级查询、领导查询、经营分析、财务分析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电子表格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电子表格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集成平台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通用数据采集、收入数据采集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相关软件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数据库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Calibri" w:cs="Calibri"/>
                <w:sz w:val="20"/>
              </w:rPr>
              <w:t>Oracle</w:t>
            </w:r>
            <w:r>
              <w:rPr>
                <w:rFonts w:ascii="宋体" w:hAnsi="宋体" w:eastAsia="宋体" w:cs="宋体"/>
                <w:sz w:val="20"/>
              </w:rPr>
              <w:t>数据库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Calibri" w:cs="Calibri"/>
                <w:sz w:val="20"/>
              </w:rPr>
              <w:t>HIS</w:t>
            </w:r>
            <w:r>
              <w:rPr>
                <w:rFonts w:ascii="宋体" w:hAnsi="宋体" w:eastAsia="宋体" w:cs="宋体"/>
                <w:sz w:val="20"/>
              </w:rPr>
              <w:t>收费材料接口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sz w:val="20"/>
              </w:rPr>
              <w:t>物资档案同步接口、</w:t>
            </w:r>
            <w:r>
              <w:rPr>
                <w:rFonts w:ascii="Calibri" w:hAnsi="Calibri" w:eastAsia="Calibri" w:cs="Calibri"/>
                <w:sz w:val="20"/>
              </w:rPr>
              <w:t>HIS</w:t>
            </w:r>
            <w:r>
              <w:rPr>
                <w:rFonts w:ascii="宋体" w:hAnsi="宋体" w:eastAsia="宋体" w:cs="宋体"/>
                <w:sz w:val="20"/>
              </w:rPr>
              <w:t>收费材料接口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restart"/>
            <w:tcBorders>
              <w:top w:val="single" w:color="000000" w:sz="0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  <w:p>
            <w:pPr>
              <w:spacing w:after="200" w:line="276" w:lineRule="auto"/>
              <w:jc w:val="left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新增物资管理功能</w:t>
            </w:r>
          </w:p>
        </w:tc>
        <w:tc>
          <w:tcPr>
            <w:tcW w:w="14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/>
              </w:rPr>
              <w:t>物资管理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pStyle w:val="2"/>
              <w:spacing w:before="0" w:after="0" w:line="240" w:lineRule="auto"/>
              <w:rPr>
                <w:rFonts w:ascii="Times New Roman" w:hAnsi="Times New Roman" w:eastAsia="宋体" w:cs="仿宋"/>
                <w:sz w:val="24"/>
                <w:szCs w:val="24"/>
              </w:rPr>
            </w:pPr>
            <w:bookmarkStart w:id="0" w:name="_Toc26536"/>
            <w:r>
              <w:rPr>
                <w:rFonts w:hint="eastAsia"/>
                <w:sz w:val="24"/>
                <w:szCs w:val="24"/>
              </w:rPr>
              <w:t>物资管理系统</w:t>
            </w:r>
            <w:bookmarkEnd w:id="0"/>
          </w:p>
          <w:p>
            <w:pPr>
              <w:pStyle w:val="2"/>
              <w:numPr>
                <w:ilvl w:val="1"/>
                <w:numId w:val="0"/>
              </w:numPr>
              <w:spacing w:before="0" w:after="0" w:line="240" w:lineRule="auto"/>
              <w:rPr>
                <w:rFonts w:hint="eastAsia" w:ascii="Times New Roman" w:hAnsi="Times New Roman" w:eastAsia="宋体" w:cs="仿宋"/>
                <w:b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sz w:val="21"/>
                <w:szCs w:val="21"/>
              </w:rPr>
              <w:t>　　物资管理是以物料为核心，围绕物料进行申请、采购、入库、出库、结算等一系列物流活动的系统。物资管理主要由采购管理、库存管理、追溯管理、准入管理、查询统计组成，同时与 HRP 其他业务模块紧密衔接，如预算管理、合同管理、资产管理、应付管理、存货核算等；同时和医采平台业务深度融合，实现</w:t>
            </w:r>
            <w:r>
              <w:rPr>
                <w:rFonts w:hint="eastAsia" w:ascii="Times New Roman" w:hAnsi="Times New Roman" w:eastAsia="宋体" w:cs="仿宋"/>
                <w:b w:val="0"/>
                <w:sz w:val="21"/>
                <w:szCs w:val="21"/>
              </w:rPr>
              <w:t>院内外物流业务一体化。将医院全部的物资全部纳入系统中进行统一管理，实现从采购申请--采购合同--采购订单--采购入库--科室申领--物资出库--成本归集--采购结算业务全流程管理。能够从业务的源头进行物资的追溯管理，并且能够与智能耗材柜、手术室机器人的新型的应用模式进行对接，实现物资管理的智能化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pStyle w:val="3"/>
              <w:spacing w:before="0" w:after="0" w:line="240" w:lineRule="auto"/>
              <w:rPr>
                <w:sz w:val="24"/>
                <w:szCs w:val="24"/>
              </w:rPr>
            </w:pPr>
            <w:bookmarkStart w:id="1" w:name="_Toc10782"/>
            <w:r>
              <w:rPr>
                <w:rFonts w:hint="eastAsia"/>
                <w:sz w:val="24"/>
                <w:szCs w:val="24"/>
              </w:rPr>
              <w:t>基础设置</w:t>
            </w:r>
            <w:bookmarkEnd w:id="1"/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物资档案拥有耗材的基本信息如规格型号，品牌，是否高值，是否收费，是否资产，是否条码管理，是否批次管理等属性，以及全院唯一的物资编码确保一物一码，支持自定义物资属性；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物资分类支持多维度的分类管理，例如管理维度，价值维度等；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支持不同的物资分类设计不同的管理流程和管理权限；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支持物资档案接口用以对接医保档案，OA审批单，HIS收费项目档案；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针对医疗耗材资质提供了资质的类型、编码、名称以及多版本的保存，实现物资资质随时封存，启用和更新。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支持定义物资和收费项目之间的对应关系。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与外系统对接时支持将本系统的部门和外系统的部门建立对应关系。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将部门和仓库建立对应关系，或与外部系统对接时通过部门与部门对照，部门与仓库对照转换为外部系统与HRP仓库关联关系。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支持物料在仓库中的安全库存、最高库存和订货量等库存模型。按照库存计划生成需求申请单或者请购单，进行采购流程。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针对不同性质的物资建立不同的业务流程，实现全程闭环管理。</w:t>
            </w:r>
          </w:p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ascii="Times New Roman" w:hAnsi="Times New Roman" w:cs="仿宋"/>
                <w:b/>
                <w:bCs/>
                <w:szCs w:val="24"/>
              </w:rPr>
            </w:pPr>
            <w:r>
              <w:rPr>
                <w:rFonts w:hint="eastAsia" w:ascii="Times New Roman" w:hAnsi="Times New Roman" w:cs="仿宋"/>
                <w:b/>
                <w:bCs/>
                <w:szCs w:val="24"/>
              </w:rPr>
              <w:t>条码管理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提供条码打印程序，支持条码标签的内容、大小、条码码制的自定义；物资条码的内容设计支持物资编码、物资批次、高值耗材序列号等；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维护条码规则，按照单据类型设置，可以配置物资的主条码和唯一码的条码规则。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自动生成每一个高值耗材的唯一条码。支持条码逐条打印，或批量打印。</w:t>
            </w:r>
          </w:p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ascii="Times New Roman" w:hAnsi="Times New Roman" w:cs="仿宋"/>
                <w:b/>
                <w:bCs/>
                <w:szCs w:val="24"/>
              </w:rPr>
            </w:pPr>
            <w:r>
              <w:rPr>
                <w:rFonts w:hint="eastAsia" w:ascii="Times New Roman" w:hAnsi="Times New Roman" w:cs="仿宋"/>
                <w:b/>
                <w:bCs/>
                <w:szCs w:val="24"/>
              </w:rPr>
              <w:t>物资管理基础数据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支持供应商基础档案维护，包括：往来单位分类、往来单位档案、资质证件等；实现资质证件基础信息维护和管理，资质图片上传，资质效期预警等功能；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维护供应商物资的关系，记录供应商与物资的价格信息，是采购管理取价规则的重要信息。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提供物资档案建立耗材的基本信息。如：规格、型号、品牌、是否高值、是否收费、是否条码管理、是否批次管理等属性。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物资套餐设置：提供将不同数量的物料组合成一个套餐，在选择物料时选择套餐可带出物料明细进行便捷操作，可以实现医院耗材整包申领、整包收费、耗材整包预留。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资质类型设定：提供维护物资资质类型和往来单位资质类型，选择资质类型，系统会预置资质类型。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物资资质：系统需提供维护物资资质明细，如：注册证号、证件名称、生效日期、失效日期、备注等。可与供应商平台的资质管理的资质信息数据同步。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支持多级库房的应用。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 xml:space="preserve">支持主计量单位和辅计量单位的应用，支持多计量单位的国家标准预置。 </w:t>
            </w:r>
          </w:p>
          <w:p>
            <w:pPr>
              <w:ind w:firstLine="420" w:firstLineChars="200"/>
              <w:rPr>
                <w:rFonts w:hint="eastAsia" w:ascii="Times New Roman" w:hAnsi="Times New Roman" w:eastAsia="宋体" w:cs="仿宋"/>
                <w:szCs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宋体" w:cs="仿宋"/>
                <w:szCs w:val="24"/>
              </w:rPr>
              <w:t>预警管理：支持物资资质有效期提示预警功能；支持物资库存量安全数量预警，耗材有效期预警，供应商资质效期预警，超出预警条件自动将预警信息推送到系统首页。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pStyle w:val="3"/>
              <w:spacing w:before="0" w:after="0" w:line="240" w:lineRule="auto"/>
              <w:rPr>
                <w:sz w:val="24"/>
                <w:szCs w:val="24"/>
              </w:rPr>
            </w:pPr>
            <w:bookmarkStart w:id="2" w:name="_Toc8382"/>
            <w:r>
              <w:rPr>
                <w:rFonts w:hint="eastAsia"/>
                <w:sz w:val="24"/>
                <w:szCs w:val="24"/>
              </w:rPr>
              <w:t>准入管理</w:t>
            </w:r>
            <w:bookmarkEnd w:id="2"/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▲支持新供应商准入申请和新物资准入申请管理，对新供应商所有资质信息进行审查，及院内对新增物资准入进行多级部门审核。</w:t>
            </w:r>
          </w:p>
          <w:p>
            <w:pPr>
              <w:ind w:firstLine="420" w:firstLineChars="200"/>
              <w:rPr>
                <w:rFonts w:hint="eastAsia"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提供因停产或代理变更等某些原因，医院对已上架使用的物资发出的停用需求申请，并支持相关事项的审批。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pStyle w:val="3"/>
              <w:spacing w:before="0" w:after="0" w:line="240" w:lineRule="auto"/>
              <w:rPr>
                <w:sz w:val="24"/>
                <w:szCs w:val="24"/>
              </w:rPr>
            </w:pPr>
            <w:bookmarkStart w:id="3" w:name="_Toc8135"/>
            <w:r>
              <w:rPr>
                <w:rFonts w:hint="eastAsia"/>
                <w:sz w:val="24"/>
                <w:szCs w:val="24"/>
              </w:rPr>
              <w:t>采购管理</w:t>
            </w:r>
            <w:bookmarkEnd w:id="3"/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提供价格审批单功能，可对价格变更进行维护、审批。并对现存的物资价格进行自动追溯调整。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提供采购价目表的功能，可对物资的采购价格进行生效及失效日期管理；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提供物资请购功能，能够在线提出物资请购需求，并由相关负责人进行审批；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提供采购计划功能，帮助采购部门制定计划，审批计划，并根据业务的进展对计划进行调整；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宋体" w:cs="仿宋"/>
                <w:szCs w:val="24"/>
              </w:rPr>
              <w:t>提供采购需求量自动计算功能，能够根据库存量、消耗情况、最大库存、最小库存、安全库存、订购批量、订货周期等因子自动生成采购计划量，实现最优化的采购管理；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提供采购订单功能，对采购计划和采购申请进行执行，采购订单到货情况可以随时追踪；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提供物资采购入库功能，根据供应商资质、物资注册证有效期、最大库存情况进行自动预警，提高采购物资的质量；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▲</w:t>
            </w:r>
            <w:r>
              <w:rPr>
                <w:rFonts w:hint="eastAsia" w:ascii="Times New Roman" w:hAnsi="Times New Roman" w:eastAsia="宋体" w:cs="仿宋"/>
                <w:szCs w:val="24"/>
              </w:rPr>
              <w:t>提供采购发票管理功能，能够进行票货同到、货到票未到、票到货未到多种情况的管理，货到票未到情况支持暂估入库，一张发票可以核销多张采购单、一张采购单也可以对应核销多张发票；</w:t>
            </w:r>
          </w:p>
          <w:p>
            <w:pPr>
              <w:ind w:firstLine="420" w:firstLineChars="200"/>
              <w:rPr>
                <w:rFonts w:hint="eastAsia"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可以在系统维护采购价格并设定采购价格的有效期间，后续入库存将以价格维护表上的数据作为出入库价格自动带出。当出现物资价格变动时，需要作价格变动审批单，并由相关领导进行审批。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pStyle w:val="3"/>
              <w:spacing w:before="0" w:after="0" w:line="240" w:lineRule="auto"/>
              <w:rPr>
                <w:sz w:val="24"/>
                <w:szCs w:val="24"/>
              </w:rPr>
            </w:pPr>
            <w:bookmarkStart w:id="4" w:name="_Toc25377"/>
            <w:r>
              <w:rPr>
                <w:rFonts w:hint="eastAsia"/>
                <w:sz w:val="24"/>
                <w:szCs w:val="24"/>
              </w:rPr>
              <w:t>库存管理</w:t>
            </w:r>
            <w:bookmarkEnd w:id="4"/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提供批次管理功能，能够进行批次规则定义，区分不同批次的物资属性，实现精细化物资出库控制；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提供快捷出库功能，可以在入库单上直接点击出库按钮，一键出库提高库存管理效率；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提供采购入库、自制入库、其他入库、盘盈入库等多种入库管理模式，适应医院实际库存业务情况；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提供领用出库、其他出库、盘亏出库等多种出库管理模式，适应医院实际库存业务情况；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支持对物资进行分类细化管理，设立科室二级库、引入条形码支持。依靠二级库与HIS医嘱收费联用自动记账逐步达到收费耗材的实耗实销，完成一个闭环的管理模式；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提供高值耗材代管入库功能，进行代管的高值耗材入库手续办理。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提供仓库对供应商到货的物资进行验收入库。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有现存量的物资，或对已入库尚未出库的物资进行退货处理。适用于因质量、效期等问题，仓库需要将耗材退回供应商的业务处理流程。提供对已领用出库物料进行退回，记录领用退回物资的相关信息。适用于因质量、效期等问题，科室需要将耗材退回仓库的业务处理流程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提供对仓库现有库存量进行物资领用出库，记录领用出库物资的相关信息。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支持物资实际盘点数量的自动导入，自动进行盘点处理，生成盘盈盘亏单，提高物资盘点效率；提供二级库盘点功能，实现二级库的定期盘存，明确管理责权；系统支持移动盘点设备的接入，能够与移动盘点设备进行数据交换，实现移动盘点、查询；</w:t>
            </w:r>
          </w:p>
          <w:p>
            <w:pPr>
              <w:ind w:firstLine="420" w:firstLineChars="200"/>
              <w:rPr>
                <w:rFonts w:hint="eastAsia"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提供了库存月末关账及反关账功能。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pStyle w:val="3"/>
              <w:spacing w:before="0" w:after="0" w:line="240" w:lineRule="auto"/>
              <w:rPr>
                <w:sz w:val="24"/>
                <w:szCs w:val="24"/>
              </w:rPr>
            </w:pPr>
            <w:bookmarkStart w:id="5" w:name="_Toc23585"/>
            <w:r>
              <w:rPr>
                <w:rFonts w:hint="eastAsia"/>
                <w:sz w:val="24"/>
                <w:szCs w:val="24"/>
              </w:rPr>
              <w:t>追溯管理</w:t>
            </w:r>
            <w:bookmarkEnd w:id="5"/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能够与医嘱系统或者HIS收费系统自动对接，高值耗材的收费、使用信息自动传递到系统内，实现高值耗材从入库、流转、到使用收费的全过程跟踪管理；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提供高值耗材追踪表，能够追踪到每一个高值耗材的生产厂家、批次、入库、调拨、领用、使用、收费信息；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提供对寄存业务模式的高值收费材料进行出库；数据来源可通过接口将系统外的数据传到该单据，自动形成收费出库单；也可进行手工录入收费出库信息。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提供对寄存业务模式的高值收费材料进行退回；数据来源可通过接口将系统外的数据传到该单据，自动形成收费退回单；也可进行手工录入收费退回信息。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提供对寄存业务的出库单按实际使用情况，按一定周期对各科室的消耗进行汇总后与供应商结算。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提供对寄存业务模式的低值收费材料进行出库；数据来源可通过接口将系统外的数据传到该单据，自动形成收费出库单；也可进行手工录入收费出库信息。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提供对寄存业务模式的低值收费材料进行退回；数据来源可通过接口将系统外的数据传到该单据，自动形成收费退回单；也可进行手工录入收费退回信息。</w:t>
            </w:r>
          </w:p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pStyle w:val="3"/>
              <w:spacing w:before="0" w:after="0" w:line="240" w:lineRule="auto"/>
              <w:rPr>
                <w:sz w:val="24"/>
                <w:szCs w:val="24"/>
              </w:rPr>
            </w:pPr>
            <w:bookmarkStart w:id="6" w:name="_Toc23210"/>
            <w:r>
              <w:rPr>
                <w:rFonts w:hint="eastAsia"/>
                <w:sz w:val="24"/>
                <w:szCs w:val="24"/>
              </w:rPr>
              <w:t>统计分析</w:t>
            </w:r>
            <w:bookmarkEnd w:id="6"/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系统所提供的报表包括系统内置的报表及用户自定义报表两类。其中系统内置报表包括：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入库流水表-查询所有入库的流水记录，退货按负数展示；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出库流水表-查询所有出库的流水记录，领用退回和退费按负数展示；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出入库流水表-查询所有出入库的流水记录，查询时支持过滤资源权限过滤；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入库汇总表-查询所有入库的流水记录并按设置维度进行汇总；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出库汇总表-查询所有出库的流水记录并按设置维度进行汇总；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收发存汇总表-查询所有出入库的流水记录并按设置维度进行汇总；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现存量报表-查询当前结存数量，支持调整报表语句；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条码现存量表-查询条码当前结存数量，支持调整报表语句；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条码跟踪表-查询条码出入库记录；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物资需求申请单查询-查询物资需求申请的记录；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请购单执行情况报表-查询请购单表体物资的采购和入库情况等；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采购订单执行情况报-查询订单表体物资入库、开票情况、入库情况等；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消耗汇总查询报表-查询消耗汇总明细开票情况；</w:t>
            </w:r>
          </w:p>
          <w:p>
            <w:pPr>
              <w:ind w:firstLine="420" w:firstLineChars="200"/>
              <w:rPr>
                <w:rFonts w:ascii="Times New Roman" w:hAnsi="Times New Roman" w:eastAsia="宋体" w:cs="仿宋"/>
                <w:szCs w:val="24"/>
              </w:rPr>
            </w:pPr>
            <w:r>
              <w:rPr>
                <w:rFonts w:hint="eastAsia" w:ascii="Times New Roman" w:hAnsi="Times New Roman" w:eastAsia="宋体" w:cs="仿宋"/>
                <w:szCs w:val="24"/>
              </w:rPr>
              <w:t>库存转移明细表-查询库存转移明细记录；</w:t>
            </w:r>
          </w:p>
          <w:p>
            <w:pPr>
              <w:pStyle w:val="3"/>
              <w:numPr>
                <w:ilvl w:val="0"/>
                <w:numId w:val="0"/>
              </w:numPr>
              <w:spacing w:before="0" w:after="0" w:line="24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510AD"/>
    <w:multiLevelType w:val="multilevel"/>
    <w:tmpl w:val="31C510AD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suff w:val="space"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 w:ascii="Times New Roman" w:hAnsi="Times New Roman" w:cs="Times New Roman"/>
        <w:b/>
        <w:bCs/>
        <w:sz w:val="24"/>
        <w:szCs w:val="24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61B823D8"/>
    <w:multiLevelType w:val="multilevel"/>
    <w:tmpl w:val="61B823D8"/>
    <w:lvl w:ilvl="0" w:tentative="0">
      <w:start w:val="1"/>
      <w:numFmt w:val="bullet"/>
      <w:lvlText w:val="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A553D"/>
    <w:rsid w:val="076D5A73"/>
    <w:rsid w:val="08122176"/>
    <w:rsid w:val="0E63372C"/>
    <w:rsid w:val="0E7C2313"/>
    <w:rsid w:val="11707884"/>
    <w:rsid w:val="15763D45"/>
    <w:rsid w:val="16D63975"/>
    <w:rsid w:val="1A9133CF"/>
    <w:rsid w:val="1D3D1908"/>
    <w:rsid w:val="1FFA1CE7"/>
    <w:rsid w:val="23C40371"/>
    <w:rsid w:val="285D2B42"/>
    <w:rsid w:val="2FCD67FF"/>
    <w:rsid w:val="2FDF54BD"/>
    <w:rsid w:val="310A553D"/>
    <w:rsid w:val="31701B38"/>
    <w:rsid w:val="324863EA"/>
    <w:rsid w:val="38F46CF2"/>
    <w:rsid w:val="41A43864"/>
    <w:rsid w:val="440A08B0"/>
    <w:rsid w:val="4C665605"/>
    <w:rsid w:val="4C8C73CE"/>
    <w:rsid w:val="4F2E6E63"/>
    <w:rsid w:val="51D07D5D"/>
    <w:rsid w:val="52A35472"/>
    <w:rsid w:val="52B256B5"/>
    <w:rsid w:val="56EF6ED8"/>
    <w:rsid w:val="641A755E"/>
    <w:rsid w:val="6B174383"/>
    <w:rsid w:val="6B427475"/>
    <w:rsid w:val="6E105C5A"/>
    <w:rsid w:val="6FF60E7F"/>
    <w:rsid w:val="71845440"/>
    <w:rsid w:val="71995F66"/>
    <w:rsid w:val="71E73175"/>
    <w:rsid w:val="74FD1D13"/>
    <w:rsid w:val="7533222E"/>
    <w:rsid w:val="75DE7C70"/>
    <w:rsid w:val="76B45DCD"/>
    <w:rsid w:val="7864511A"/>
    <w:rsid w:val="79BC0A44"/>
    <w:rsid w:val="79DD09BA"/>
    <w:rsid w:val="7AFD746A"/>
    <w:rsid w:val="7B5F6EA1"/>
    <w:rsid w:val="7EE051D4"/>
    <w:rsid w:val="7F82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2"/>
    </w:pPr>
    <w:rPr>
      <w:rFonts w:ascii="Calibri" w:hAnsi="Calibri" w:eastAsia="宋体" w:cs="Times New Roman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830" w:firstLineChars="352"/>
    </w:pPr>
    <w:rPr>
      <w:rFonts w:ascii="仿宋_GB2312" w:hAnsi="Times New Roman" w:eastAsia="仿宋_GB2312" w:cs="Times New Roman"/>
      <w:kern w:val="0"/>
      <w:sz w:val="32"/>
      <w:szCs w:val="20"/>
    </w:rPr>
  </w:style>
  <w:style w:type="paragraph" w:styleId="5">
    <w:name w:val="Plain Text"/>
    <w:basedOn w:val="1"/>
    <w:next w:val="1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6">
    <w:name w:val="Body Text First Indent 2"/>
    <w:basedOn w:val="4"/>
    <w:qFormat/>
    <w:uiPriority w:val="0"/>
    <w:pPr>
      <w:ind w:leftChars="0" w:firstLine="210"/>
    </w:pPr>
    <w:rPr>
      <w:rFonts w:ascii="Times New Roman" w:hAnsi="Times New Roman" w:eastAsia="宋体" w:cs="Times New Roman"/>
      <w:szCs w:val="20"/>
    </w:rPr>
  </w:style>
  <w:style w:type="paragraph" w:customStyle="1" w:styleId="9">
    <w:name w:val="Table Text"/>
    <w:basedOn w:val="1"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4088</Words>
  <Characters>4208</Characters>
  <Lines>0</Lines>
  <Paragraphs>0</Paragraphs>
  <TotalTime>0</TotalTime>
  <ScaleCrop>false</ScaleCrop>
  <LinksUpToDate>false</LinksUpToDate>
  <CharactersWithSpaces>4234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2026-06-30T03:15:00Z</dcterms:created>
  <dc:creator>邓春发</dc:creator>
  <cp:lastModifiedBy>L</cp:lastModifiedBy>
  <cp:lastPrinted>2026-07-01T01:33:00Z</cp:lastPrinted>
  <dcterms:modified xsi:type="dcterms:W3CDTF">2026-07-28T07:25:14Z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1EB24A1AE75044D7AE7CF056A3168652_11</vt:lpwstr>
  </property>
  <property fmtid="{D5CDD505-2E9C-101B-9397-08002B2CF9AE}" pid="4" name="KSOTemplateDocerSaveRecord">
    <vt:lpwstr>eyJoZGlkIjoiOGNhZmI0YzhjYmRjNTJkODIyYjFhYmRlZDRmYzI1ZWIiLCJ1c2VySWQiOiIyNzcxODgyODgifQ==</vt:lpwstr>
  </property>
</Properties>
</file>